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LYM-031 | 弥漫性大B细胞淋巴瘤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双特异性抗体后进展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CD19阴性，CD20弱阳性，CD22阳性</w:t>
      </w:r>
    </w:p>
    <w:p>
      <w:pPr>
        <w:pStyle w:val="Heading1"/>
      </w:pPr>
      <w:r>
        <w:t>既往治疗</w:t>
      </w:r>
    </w:p>
    <w:p>
      <w:r>
        <w:t>R-CHOP；自体移植；CAR-T；CD20×CD3双抗</w:t>
      </w:r>
    </w:p>
    <w:p>
      <w:pPr>
        <w:pStyle w:val="Heading1"/>
      </w:pPr>
      <w:r>
        <w:t>临床经过</w:t>
      </w:r>
    </w:p>
    <w:p>
      <w:r>
        <w:t>多线治疗后骨髓和骨骼进展，伴细胞减少。</w:t>
      </w:r>
    </w:p>
    <w:p>
      <w:pPr>
        <w:pStyle w:val="Heading1"/>
      </w:pPr>
      <w:r>
        <w:t>肿瘤委员会问题</w:t>
      </w:r>
    </w:p>
    <w:p>
      <w:r>
        <w:t>抗原丢失后还有哪些系统治疗方向？</w:t>
      </w:r>
    </w:p>
    <w:p>
      <w:pPr>
        <w:pStyle w:val="Heading1"/>
      </w:pPr>
      <w:r>
        <w:t>历史会议决定</w:t>
      </w:r>
    </w:p>
    <w:p>
      <w:r>
        <w:t>复核抗原表达和骨髓储备，优先CD22导向治疗、新型细胞治疗或临床试验。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