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LYM-032 | 弥漫性大B细胞淋巴瘤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SYN-LYM-032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48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0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弥漫性大B细胞淋巴瘤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自体移植后晚期孤立骨复发</w:t>
            </w:r>
          </w:p>
        </w:tc>
      </w:tr>
    </w:tbl>
    <w:p>
      <w:pPr>
        <w:pStyle w:val="Heading1"/>
      </w:pPr>
      <w:r>
        <w:t>预后与分子因素</w:t>
      </w:r>
    </w:p>
    <w:p>
      <w:r>
        <w:t>CD20阳性，GCB型</w:t>
      </w:r>
    </w:p>
    <w:p>
      <w:pPr>
        <w:pStyle w:val="Heading1"/>
      </w:pPr>
      <w:r>
        <w:t>既往治疗</w:t>
      </w:r>
    </w:p>
    <w:p>
      <w:r>
        <w:t>R-CHOP；挽救化疗；自体移植</w:t>
      </w:r>
    </w:p>
    <w:p>
      <w:pPr>
        <w:pStyle w:val="Heading1"/>
      </w:pPr>
      <w:r>
        <w:t>临床经过</w:t>
      </w:r>
    </w:p>
    <w:p>
      <w:r>
        <w:t>移植后5年出现单一股骨病灶，活检确认复发。</w:t>
      </w:r>
    </w:p>
    <w:p>
      <w:pPr>
        <w:pStyle w:val="Heading1"/>
      </w:pPr>
      <w:r>
        <w:t>肿瘤委员会问题</w:t>
      </w:r>
    </w:p>
    <w:p>
      <w:r>
        <w:t>局部放疗是否足够？</w:t>
      </w:r>
    </w:p>
    <w:p>
      <w:pPr>
        <w:pStyle w:val="Heading1"/>
      </w:pPr>
      <w:r>
        <w:t>历史会议决定</w:t>
      </w:r>
    </w:p>
    <w:p>
      <w:r>
        <w:t>完成全身分期后采用局部控制并评估全身挽救，避免将隐匿播散误判为局限病变。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