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LYM-033 | 原发中枢神经系统淋巴瘤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SYN-LYM-033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原发中枢神经系统淋巴瘤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自体移植后复发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MYD88 L265P，CD20阳性</w:t>
      </w:r>
    </w:p>
    <w:p>
      <w:pPr>
        <w:pStyle w:val="Heading1"/>
      </w:pPr>
      <w:r>
        <w:t>既往治疗</w:t>
      </w:r>
    </w:p>
    <w:p>
      <w:r>
        <w:t>高剂量甲氨蝶呤为基础的联合方案；塞替派自体移植</w:t>
      </w:r>
    </w:p>
    <w:p>
      <w:pPr>
        <w:pStyle w:val="Heading1"/>
      </w:pPr>
      <w:r>
        <w:t>临床经过</w:t>
      </w:r>
    </w:p>
    <w:p>
      <w:r>
        <w:t>移植后20个月出现新的深部脑实质病灶。</w:t>
      </w:r>
    </w:p>
    <w:p>
      <w:pPr>
        <w:pStyle w:val="Heading1"/>
      </w:pPr>
      <w:r>
        <w:t>肿瘤委员会问题</w:t>
      </w:r>
    </w:p>
    <w:p>
      <w:r>
        <w:t>复发后如何选择BTK抑制、免疫治疗或再挑战？</w:t>
      </w:r>
    </w:p>
    <w:p>
      <w:pPr>
        <w:pStyle w:val="Heading1"/>
      </w:pPr>
      <w:r>
        <w:t>历史会议决定</w:t>
      </w:r>
    </w:p>
    <w:p>
      <w:r>
        <w:t>根据既往甲氨蝶呤敏感性、器官功能和可及性选择中枢有活性的挽救方案。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