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LYM-034 | 原发玻璃体视网膜淋巴瘤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SYN-LYM-034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63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原发玻璃体视网膜淋巴瘤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双眼受累、无脑实质病灶</w:t>
            </w:r>
          </w:p>
        </w:tc>
      </w:tr>
    </w:tbl>
    <w:p>
      <w:pPr>
        <w:pStyle w:val="Heading1"/>
      </w:pPr>
      <w:r>
        <w:t>预后与分子因素</w:t>
      </w:r>
    </w:p>
    <w:p>
      <w:r>
        <w:t>玻璃体IL-10升高，MYD88 L265P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视力波动和飞蚊症，脑MRI及脑脊液阴性。</w:t>
      </w:r>
    </w:p>
    <w:p>
      <w:pPr>
        <w:pStyle w:val="Heading1"/>
      </w:pPr>
      <w:r>
        <w:t>肿瘤委员会问题</w:t>
      </w:r>
    </w:p>
    <w:p>
      <w:r>
        <w:t>局部眼内治疗与全身中枢治疗如何取舍？</w:t>
      </w:r>
    </w:p>
    <w:p>
      <w:pPr>
        <w:pStyle w:val="Heading1"/>
      </w:pPr>
      <w:r>
        <w:t>历史会议决定</w:t>
      </w:r>
    </w:p>
    <w:p>
      <w:r>
        <w:t>由眼科与中枢淋巴瘤团队共同评估，采用眼内控制并根据双眼疾病评估全身治疗。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