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LYM-035 | 滤泡性淋巴瘤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SYN-LYM-035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65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滤泡性淋巴瘤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多线复发、EZH2突变</w:t>
            </w:r>
          </w:p>
        </w:tc>
      </w:tr>
    </w:tbl>
    <w:p>
      <w:pPr>
        <w:pStyle w:val="Heading1"/>
      </w:pPr>
      <w:r>
        <w:t>预后与分子因素</w:t>
      </w:r>
    </w:p>
    <w:p>
      <w:r>
        <w:t>EZH2 Y646N，CD20阳性</w:t>
      </w:r>
    </w:p>
    <w:p>
      <w:pPr>
        <w:pStyle w:val="Heading1"/>
      </w:pPr>
      <w:r>
        <w:t>既往治疗</w:t>
      </w:r>
    </w:p>
    <w:p>
      <w:r>
        <w:t>免疫化疗；lenalidomide联合抗CD20抗体</w:t>
      </w:r>
    </w:p>
    <w:p>
      <w:pPr>
        <w:pStyle w:val="Heading1"/>
      </w:pPr>
      <w:r>
        <w:t>临床经过</w:t>
      </w:r>
    </w:p>
    <w:p>
      <w:r>
        <w:t>第三次进展，肿瘤负荷中等，无转化证据。</w:t>
      </w:r>
    </w:p>
    <w:p>
      <w:pPr>
        <w:pStyle w:val="Heading1"/>
      </w:pPr>
      <w:r>
        <w:t>肿瘤委员会问题</w:t>
      </w:r>
    </w:p>
    <w:p>
      <w:r>
        <w:t>EZH2抑制、双抗和CAR-T如何排序？</w:t>
      </w:r>
    </w:p>
    <w:p>
      <w:pPr>
        <w:pStyle w:val="Heading1"/>
      </w:pPr>
      <w:r>
        <w:t>历史会议决定</w:t>
      </w:r>
    </w:p>
    <w:p>
      <w:r>
        <w:t>根据病程速度、治疗目标和可及性选择EZH2抑制或免疫治疗，预留细胞治疗。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