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LYM-036 | 滤泡性淋巴瘤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SYN-LYM-036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lymphoma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54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女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1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滤泡性淋巴瘤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怀疑转化、待再活检</w:t>
            </w:r>
          </w:p>
        </w:tc>
      </w:tr>
    </w:tbl>
    <w:p>
      <w:pPr>
        <w:pStyle w:val="Heading1"/>
      </w:pPr>
      <w:r>
        <w:t>预后与分子因素</w:t>
      </w:r>
    </w:p>
    <w:p>
      <w:r>
        <w:t>t(14;18)，新出现LDH升高</w:t>
      </w:r>
    </w:p>
    <w:p>
      <w:pPr>
        <w:pStyle w:val="Heading1"/>
      </w:pPr>
      <w:r>
        <w:t>既往治疗</w:t>
      </w:r>
    </w:p>
    <w:p>
      <w:r>
        <w:t>抗CD20单药后缓解3年</w:t>
      </w:r>
    </w:p>
    <w:p>
      <w:pPr>
        <w:pStyle w:val="Heading1"/>
      </w:pPr>
      <w:r>
        <w:t>临床经过</w:t>
      </w:r>
    </w:p>
    <w:p>
      <w:r>
        <w:t>单一腹股沟淋巴结迅速增大，PET SUVmax 24。</w:t>
      </w:r>
    </w:p>
    <w:p>
      <w:pPr>
        <w:pStyle w:val="Heading1"/>
      </w:pPr>
      <w:r>
        <w:t>肿瘤委员会问题</w:t>
      </w:r>
    </w:p>
    <w:p>
      <w:r>
        <w:t>活检部位和治疗时机如何确定？</w:t>
      </w:r>
    </w:p>
    <w:p>
      <w:pPr>
        <w:pStyle w:val="Heading1"/>
      </w:pPr>
      <w:r>
        <w:t>历史会议决定</w:t>
      </w:r>
    </w:p>
    <w:p>
      <w:r>
        <w:t>优先对代谢最高且可安全取样的病灶活检，在病理明确前避免盲目按惰性淋巴瘤治疗。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LYM-036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