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LYM-037 | 白血病样非淋巴结性套细胞淋巴瘤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白血病样非淋巴结性套细胞淋巴瘤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无症状、低增殖</w:t>
            </w:r>
          </w:p>
        </w:tc>
      </w:tr>
    </w:tbl>
    <w:p>
      <w:pPr>
        <w:pStyle w:val="Heading1"/>
      </w:pPr>
      <w:r>
        <w:t>预后与分子因素</w:t>
      </w:r>
    </w:p>
    <w:p>
      <w:r>
        <w:t>SOX11阴性，t(11;14)，ki-67 5%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外周血和骨髓受累，淋巴结不大，血象稳定。</w:t>
      </w:r>
    </w:p>
    <w:p>
      <w:pPr>
        <w:pStyle w:val="Heading1"/>
      </w:pPr>
      <w:r>
        <w:t>肿瘤委员会问题</w:t>
      </w:r>
    </w:p>
    <w:p>
      <w:r>
        <w:t>是否可以观察等待？</w:t>
      </w:r>
    </w:p>
    <w:p>
      <w:pPr>
        <w:pStyle w:val="Heading1"/>
      </w:pPr>
      <w:r>
        <w:t>历史会议决定</w:t>
      </w:r>
    </w:p>
    <w:p>
      <w:r>
        <w:t>在无症状、无器官威胁且指标稳定时观察，按预设间隔监测。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