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LYM-038 | 套细胞淋巴瘤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套细胞淋巴瘤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CAR-T后CD19阴性复发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CD19阴性，CD20阳性，TP53突变</w:t>
      </w:r>
    </w:p>
    <w:p>
      <w:pPr>
        <w:pStyle w:val="Heading1"/>
      </w:pPr>
      <w:r>
        <w:t>既往治疗</w:t>
      </w:r>
    </w:p>
    <w:p>
      <w:r>
        <w:t>免疫化疗；BTK抑制剂；CD19 CAR-T</w:t>
      </w:r>
    </w:p>
    <w:p>
      <w:pPr>
        <w:pStyle w:val="Heading1"/>
      </w:pPr>
      <w:r>
        <w:t>临床经过</w:t>
      </w:r>
    </w:p>
    <w:p>
      <w:r>
        <w:t>CAR-T后6个月高增殖性复发，伴血小板减少。</w:t>
      </w:r>
    </w:p>
    <w:p>
      <w:pPr>
        <w:pStyle w:val="Heading1"/>
      </w:pPr>
      <w:r>
        <w:t>肿瘤委员会问题</w:t>
      </w:r>
    </w:p>
    <w:p>
      <w:r>
        <w:t>抗原逃逸后如何快速挽救？</w:t>
      </w:r>
    </w:p>
    <w:p>
      <w:pPr>
        <w:pStyle w:val="Heading1"/>
      </w:pPr>
      <w:r>
        <w:t>历史会议决定</w:t>
      </w:r>
    </w:p>
    <w:p>
      <w:r>
        <w:t>根据CD20表达与骨髓储备考虑双特异性抗体或新型靶向试验，同时控制高肿瘤负荷。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