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LYM-039 | 华氏巨球蛋白血症/淋巴浆细胞淋巴瘤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SYN-LYM-039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71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华氏巨球蛋白血症/淋巴浆细胞淋巴瘤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BTK抑制剂不耐受</w:t>
            </w:r>
          </w:p>
        </w:tc>
      </w:tr>
    </w:tbl>
    <w:p>
      <w:pPr>
        <w:pStyle w:val="Heading1"/>
      </w:pPr>
      <w:r>
        <w:t>预后与分子因素</w:t>
      </w:r>
    </w:p>
    <w:p>
      <w:r>
        <w:t>MYD88 L265P，CXCR4野生型</w:t>
      </w:r>
    </w:p>
    <w:p>
      <w:pPr>
        <w:pStyle w:val="Heading1"/>
      </w:pPr>
      <w:r>
        <w:t>既往治疗</w:t>
      </w:r>
    </w:p>
    <w:p>
      <w:r>
        <w:t>zanubrutinib后反复房颤</w:t>
      </w:r>
    </w:p>
    <w:p>
      <w:pPr>
        <w:pStyle w:val="Heading1"/>
      </w:pPr>
      <w:r>
        <w:t>临床经过</w:t>
      </w:r>
    </w:p>
    <w:p>
      <w:r>
        <w:t>IgM逐渐升高，伴轻度贫血，无高黏滞症状。</w:t>
      </w:r>
    </w:p>
    <w:p>
      <w:pPr>
        <w:pStyle w:val="Heading1"/>
      </w:pPr>
      <w:r>
        <w:t>肿瘤委员会问题</w:t>
      </w:r>
    </w:p>
    <w:p>
      <w:r>
        <w:t>如何在心脏风险下更换治疗？</w:t>
      </w:r>
    </w:p>
    <w:p>
      <w:pPr>
        <w:pStyle w:val="Heading1"/>
      </w:pPr>
      <w:r>
        <w:t>历史会议决定</w:t>
      </w:r>
    </w:p>
    <w:p>
      <w:r>
        <w:t>处理可逆性心脏因素，选择非BTK依赖方案或不同安全性特征的靶向治疗。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