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LYM-040 | 结内边缘区淋巴瘤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结内边缘区淋巴瘤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初诊、高肿瘤负荷</w:t>
            </w:r>
          </w:p>
        </w:tc>
      </w:tr>
    </w:tbl>
    <w:p>
      <w:pPr>
        <w:pStyle w:val="Heading1"/>
      </w:pPr>
      <w:r>
        <w:t>预后与分子因素</w:t>
      </w:r>
    </w:p>
    <w:p>
      <w:r>
        <w:t>KLF2突变，CD20阳性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多站淋巴结、脾大和输血依赖性贫血。</w:t>
      </w:r>
    </w:p>
    <w:p>
      <w:pPr>
        <w:pStyle w:val="Heading1"/>
      </w:pPr>
      <w:r>
        <w:t>肿瘤委员会问题</w:t>
      </w:r>
    </w:p>
    <w:p>
      <w:r>
        <w:t>一线是否应使用抗CD20联合治疗？</w:t>
      </w:r>
    </w:p>
    <w:p>
      <w:pPr>
        <w:pStyle w:val="Heading1"/>
      </w:pPr>
      <w:r>
        <w:t>历史会议决定</w:t>
      </w:r>
    </w:p>
    <w:p>
      <w:r>
        <w:t>已有治疗指征，采用抗CD20为基础的全身治疗，按并存症调整强度。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