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LYM-041 | 边缘区淋巴瘤转化为DLBCL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SYN-LYM-041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69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边缘区淋巴瘤转化为DLBCL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首次转化</w:t>
            </w:r>
          </w:p>
        </w:tc>
      </w:tr>
    </w:tbl>
    <w:p>
      <w:pPr>
        <w:pStyle w:val="Heading1"/>
      </w:pPr>
      <w:r>
        <w:t>预后与分子因素</w:t>
      </w:r>
    </w:p>
    <w:p>
      <w:r>
        <w:t>TP53突变，MYC蛋白高表达</w:t>
      </w:r>
    </w:p>
    <w:p>
      <w:pPr>
        <w:pStyle w:val="Heading1"/>
      </w:pPr>
      <w:r>
        <w:t>既往治疗</w:t>
      </w:r>
    </w:p>
    <w:p>
      <w:r>
        <w:t>抗CD20单药；bendamustine联合抗CD20抗体</w:t>
      </w:r>
    </w:p>
    <w:p>
      <w:pPr>
        <w:pStyle w:val="Heading1"/>
      </w:pPr>
      <w:r>
        <w:t>临床经过</w:t>
      </w:r>
    </w:p>
    <w:p>
      <w:r>
        <w:t>出现B症状和骨外快速进展，活检证实转化。</w:t>
      </w:r>
    </w:p>
    <w:p>
      <w:pPr>
        <w:pStyle w:val="Heading1"/>
      </w:pPr>
      <w:r>
        <w:t>肿瘤委员会问题</w:t>
      </w:r>
    </w:p>
    <w:p>
      <w:r>
        <w:t>老年高危转化如何平衡强度？</w:t>
      </w:r>
    </w:p>
    <w:p>
      <w:pPr>
        <w:pStyle w:val="Heading1"/>
      </w:pPr>
      <w:r>
        <w:t>历史会议决定</w:t>
      </w:r>
    </w:p>
    <w:p>
      <w:r>
        <w:t>按侵袭性大B细胞淋巴瘤治疗，通过预阶段和支持治疗降低早期毒性。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