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LYM-043 | 经典型霍奇金淋巴瘤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33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经典型霍奇金淋巴瘤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PD-1抑制后缓解、待异基因移植</w:t>
            </w:r>
          </w:p>
        </w:tc>
      </w:tr>
    </w:tbl>
    <w:p>
      <w:pPr>
        <w:pStyle w:val="Heading1"/>
      </w:pPr>
      <w:r>
        <w:t>预后与分子因素</w:t>
      </w:r>
    </w:p>
    <w:p>
      <w:r>
        <w:t>PD-L1高表达，CD30阳性</w:t>
      </w:r>
    </w:p>
    <w:p>
      <w:pPr>
        <w:pStyle w:val="Heading1"/>
      </w:pPr>
      <w:r>
        <w:t>既往治疗</w:t>
      </w:r>
    </w:p>
    <w:p>
      <w:r>
        <w:t>ABVD；挽救化疗；自体移植；nivolumab</w:t>
      </w:r>
    </w:p>
    <w:p>
      <w:pPr>
        <w:pStyle w:val="Heading1"/>
      </w:pPr>
      <w:r>
        <w:t>临床经过</w:t>
      </w:r>
    </w:p>
    <w:p>
      <w:r>
        <w:t>PD-1抑制后完全代谢缓解，有匹配供者。</w:t>
      </w:r>
    </w:p>
    <w:p>
      <w:pPr>
        <w:pStyle w:val="Heading1"/>
      </w:pPr>
      <w:r>
        <w:t>肿瘤委员会问题</w:t>
      </w:r>
    </w:p>
    <w:p>
      <w:r>
        <w:t>移植时机和GVHD风险如何管理？</w:t>
      </w:r>
    </w:p>
    <w:p>
      <w:pPr>
        <w:pStyle w:val="Heading1"/>
      </w:pPr>
      <w:r>
        <w:t>历史会议决定</w:t>
      </w:r>
    </w:p>
    <w:p>
      <w:r>
        <w:t>在缓解期完成移植评估，结合PD-1暴露间隔与GVHD预防策略降低免疫毒性。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