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LYM-045 | 结节性淋巴细胞为主型B细胞淋巴瘤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SYN-LYM-045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45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结节性淋巴细胞为主型B细胞淋巴瘤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转化为大B细胞淋巴瘤</w:t>
            </w:r>
          </w:p>
        </w:tc>
      </w:tr>
    </w:tbl>
    <w:p>
      <w:pPr>
        <w:pStyle w:val="Heading1"/>
      </w:pPr>
      <w:r>
        <w:t>预后与分子因素</w:t>
      </w:r>
    </w:p>
    <w:p>
      <w:r>
        <w:t>LP细胞CD20阳性，CD30阴性</w:t>
      </w:r>
    </w:p>
    <w:p>
      <w:pPr>
        <w:pStyle w:val="Heading1"/>
      </w:pPr>
      <w:r>
        <w:t>既往治疗</w:t>
      </w:r>
    </w:p>
    <w:p>
      <w:r>
        <w:t>局部放疗后缓解6年</w:t>
      </w:r>
    </w:p>
    <w:p>
      <w:pPr>
        <w:pStyle w:val="Heading1"/>
      </w:pPr>
      <w:r>
        <w:t>临床经过</w:t>
      </w:r>
    </w:p>
    <w:p>
      <w:r>
        <w:t>腹膜后病灶快速增大，活检显示大B细胞转化。</w:t>
      </w:r>
    </w:p>
    <w:p>
      <w:pPr>
        <w:pStyle w:val="Heading1"/>
      </w:pPr>
      <w:r>
        <w:t>肿瘤委员会问题</w:t>
      </w:r>
    </w:p>
    <w:p>
      <w:r>
        <w:t>转化后应如何进行免疫化疗？</w:t>
      </w:r>
    </w:p>
    <w:p>
      <w:pPr>
        <w:pStyle w:val="Heading1"/>
      </w:pPr>
      <w:r>
        <w:t>历史会议决定</w:t>
      </w:r>
    </w:p>
    <w:p>
      <w:r>
        <w:t>按转化性大B细胞淋巴瘤采用抗CD20免疫化疗，根据PET反应规划巩固。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