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Hiragino Sans GB W3"/>
          <w:b/>
          <w:color w:val="173B57"/>
          <w:sz w:val="36"/>
        </w:rPr>
        <w:t>合成病例 LYM-046 | 滤泡辅助T细胞表型的结内外周T细胞淋巴瘤</w:t>
      </w:r>
    </w:p>
    <w:p>
      <w:pPr>
        <w:spacing w:after="200"/>
        <w:jc w:val="left"/>
      </w:pPr>
      <w:r>
        <w:rPr>
          <w:i/>
          <w:color w:val="6B7280"/>
          <w:sz w:val="18"/>
        </w:rPr>
        <w:t>完全合成·非真实患者·仅用于HemaGuide相似性检索与绘图测试</w:t>
      </w:r>
    </w:p>
    <w:p>
      <w:pPr>
        <w:pStyle w:val="Heading1"/>
      </w:pPr>
      <w:r>
        <w:t>病例基本信息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patient_id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SYN-LYM-046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dataset_group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lymphoma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case_role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history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tumorboard_type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血液肿瘤委员会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age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58 岁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sex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女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ECOG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1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main_diagnosis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滤泡辅助T细胞表型的结内外周T细胞淋巴瘤</w:t>
            </w:r>
          </w:p>
        </w:tc>
      </w:tr>
      <w:tr>
        <w:tc>
          <w:tcPr>
            <w:tcW w:type="dxa" w:w="2232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b/>
                <w:sz w:val="19"/>
              </w:rPr>
              <w:t>disease_phase</w:t>
            </w:r>
          </w:p>
        </w:tc>
        <w:tc>
          <w:tcPr>
            <w:tcW w:type="dxa" w:w="7128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64" w:lineRule="auto"/>
            </w:pPr>
            <w:r>
              <w:rPr>
                <w:rFonts w:ascii="Arial" w:hAnsi="Arial" w:eastAsia="Hiragino Sans GB W3"/>
                <w:sz w:val="19"/>
              </w:rPr>
              <w:t>初诊、高危</w:t>
            </w:r>
          </w:p>
        </w:tc>
      </w:tr>
    </w:tbl>
    <w:p>
      <w:pPr>
        <w:pStyle w:val="Heading1"/>
      </w:pPr>
      <w:r>
        <w:t>预后与分子因素</w:t>
      </w:r>
    </w:p>
    <w:p>
      <w:r>
        <w:t>RHOA G17V，TET2和IDH2 R172突变</w:t>
      </w:r>
    </w:p>
    <w:p>
      <w:pPr>
        <w:pStyle w:val="Heading1"/>
      </w:pPr>
      <w:r>
        <w:t>既往治疗</w:t>
      </w:r>
    </w:p>
    <w:p>
      <w:r>
        <w:t>无</w:t>
      </w:r>
    </w:p>
    <w:p>
      <w:pPr>
        <w:pStyle w:val="Heading1"/>
      </w:pPr>
      <w:r>
        <w:t>临床经过</w:t>
      </w:r>
    </w:p>
    <w:p>
      <w:r>
        <w:t>广泛淋巴结、皮疹和高丙种球蛋白血症。</w:t>
      </w:r>
    </w:p>
    <w:p>
      <w:pPr>
        <w:pStyle w:val="Heading1"/>
      </w:pPr>
      <w:r>
        <w:t>肿瘤委员会问题</w:t>
      </w:r>
    </w:p>
    <w:p>
      <w:r>
        <w:t>一线治疗和首次缓解巩固如何选择？</w:t>
      </w:r>
    </w:p>
    <w:p>
      <w:pPr>
        <w:pStyle w:val="Heading1"/>
      </w:pPr>
      <w:r>
        <w:t>历史会议决定</w:t>
      </w:r>
    </w:p>
    <w:p>
      <w:r>
        <w:t>采用T细胞淋巴瘤导向诱导，并在缓解后根据风险与体能评估移植巩固。</w:t>
      </w:r>
    </w:p>
    <w:p>
      <w:pPr>
        <w:pStyle w:val="Heading1"/>
      </w:pPr>
      <w:r>
        <w:t>数据使用说明</w:t>
      </w:r>
    </w:p>
    <w:p>
      <w:r>
        <w:t>本文档中的所有人口学、诊断、分子、治疗及结局信息均为人工构造，不对应任何真实患者，不得用于临床决策。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A7A7A"/>
        <w:sz w:val="16"/>
      </w:rPr>
      <w:t>Synthetic HemaGuide similarity dataset | LYM-046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3" w:lineRule="auto"/>
    </w:pPr>
    <w:rPr>
      <w:rFonts w:ascii="Arial" w:hAnsi="Arial" w:eastAsia="Hiragino Sans GB W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60"/>
      <w:outlineLvl w:val="0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rial" w:hAnsi="Arial" w:eastAsia="Hiragino Sans GB W3"/>
      <w:b/>
      <w:bCs/>
      <w:color w:val="2E5E7E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