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LYM-047 | ALK阴性间变性大细胞淋巴瘤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ALK阴性间变性大细胞淋巴瘤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初诊、DUSP22重排</w:t>
            </w:r>
          </w:p>
        </w:tc>
      </w:tr>
    </w:tbl>
    <w:p>
      <w:pPr>
        <w:pStyle w:val="Heading1"/>
      </w:pPr>
      <w:r>
        <w:t>预后与分子因素</w:t>
      </w:r>
    </w:p>
    <w:p>
      <w:r>
        <w:t>CD30强阳性，DUSP22重排，TP63阴性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多站淋巴结受累，无骨髓受累。</w:t>
      </w:r>
    </w:p>
    <w:p>
      <w:pPr>
        <w:pStyle w:val="Heading1"/>
      </w:pPr>
      <w:r>
        <w:t>肿瘤委员会问题</w:t>
      </w:r>
    </w:p>
    <w:p>
      <w:r>
        <w:t>DUSP22状态是否改变一线强度和移植决策？</w:t>
      </w:r>
    </w:p>
    <w:p>
      <w:pPr>
        <w:pStyle w:val="Heading1"/>
      </w:pPr>
      <w:r>
        <w:t>历史会议决定</w:t>
      </w:r>
    </w:p>
    <w:p>
      <w:r>
        <w:t>采用CD30导向联合方案，预后标志作为整体风险的一部分而非单独决定巩固。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