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LYM-048 | 肝脾T细胞淋巴瘤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肝脾T细胞淋巴瘤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初诊、年轻高危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TCRγδ克隆，i(7q)，STAT5B突变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巨脾、全血细胞减少和高热，淋巴结不大。</w:t>
      </w:r>
    </w:p>
    <w:p>
      <w:pPr>
        <w:pStyle w:val="Heading1"/>
      </w:pPr>
      <w:r>
        <w:t>肿瘤委员会问题</w:t>
      </w:r>
    </w:p>
    <w:p>
      <w:r>
        <w:t>如何快速获得缓解并衔接移植？</w:t>
      </w:r>
    </w:p>
    <w:p>
      <w:pPr>
        <w:pStyle w:val="Heading1"/>
      </w:pPr>
      <w:r>
        <w:t>历史会议决定</w:t>
      </w:r>
    </w:p>
    <w:p>
      <w:r>
        <w:t>采用非CHOP为主的强化挽救思路，诱导同期完成供者搜索并尽快移植。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