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LYM-049 | 成人T细胞白血病/淋巴瘤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SYN-LYM-049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55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成人T细胞白血病/淋巴瘤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急性型、高钙血症</w:t>
            </w:r>
          </w:p>
        </w:tc>
      </w:tr>
    </w:tbl>
    <w:p>
      <w:pPr>
        <w:pStyle w:val="Heading1"/>
      </w:pPr>
      <w:r>
        <w:t>预后与分子因素</w:t>
      </w:r>
    </w:p>
    <w:p>
      <w:r>
        <w:t>HTLV-1阳性，CCR4高表达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广泛淋巴结、皮损及高钙血症，伴机会性感染风险。</w:t>
      </w:r>
    </w:p>
    <w:p>
      <w:pPr>
        <w:pStyle w:val="Heading1"/>
      </w:pPr>
      <w:r>
        <w:t>肿瘤委员会问题</w:t>
      </w:r>
    </w:p>
    <w:p>
      <w:r>
        <w:t>如何同时控制高钙、肿瘤和感染风险？</w:t>
      </w:r>
    </w:p>
    <w:p>
      <w:pPr>
        <w:pStyle w:val="Heading1"/>
      </w:pPr>
      <w:r>
        <w:t>历史会议决定</w:t>
      </w:r>
    </w:p>
    <w:p>
      <w:r>
        <w:t>立即处理高钙并启动ATL导向治疗，同时加强机会性感染预防并评估移植。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