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LYM-050 | 蕲样肉芽肿/Sézary综合征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SYN-LYM-050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70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蕲样肉芽肿/Sézary综合征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皮肤红皮病期、多线治疗</w:t>
            </w:r>
          </w:p>
        </w:tc>
      </w:tr>
    </w:tbl>
    <w:p>
      <w:pPr>
        <w:pStyle w:val="Heading1"/>
      </w:pPr>
      <w:r>
        <w:t>预后与分子因素</w:t>
      </w:r>
    </w:p>
    <w:p>
      <w:r>
        <w:t>CCR4阳性，外周血Sézary细胞克隆</w:t>
      </w:r>
    </w:p>
    <w:p>
      <w:pPr>
        <w:pStyle w:val="Heading1"/>
      </w:pPr>
      <w:r>
        <w:t>既往治疗</w:t>
      </w:r>
    </w:p>
    <w:p>
      <w:r>
        <w:t>光疗；bexarotene；体外光化学疗法</w:t>
      </w:r>
    </w:p>
    <w:p>
      <w:pPr>
        <w:pStyle w:val="Heading1"/>
      </w:pPr>
      <w:r>
        <w:t>临床经过</w:t>
      </w:r>
    </w:p>
    <w:p>
      <w:r>
        <w:t>全身瘙痒、红皮病和血液受累，无大细胞转化。</w:t>
      </w:r>
    </w:p>
    <w:p>
      <w:pPr>
        <w:pStyle w:val="Heading1"/>
      </w:pPr>
      <w:r>
        <w:t>肿瘤委员会问题</w:t>
      </w:r>
    </w:p>
    <w:p>
      <w:r>
        <w:t>下一步全身治疗如何选择？</w:t>
      </w:r>
    </w:p>
    <w:p>
      <w:pPr>
        <w:pStyle w:val="Heading1"/>
      </w:pPr>
      <w:r>
        <w:t>历史会议决定</w:t>
      </w:r>
    </w:p>
    <w:p>
      <w:r>
        <w:t>根据血液负荷、CCR4表达和感染风险选择靶向免疫治疗，并继续皮肤支持。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