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strict_zh_leukemia_case_02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SIM-ZH-AML-002</w:t>
      </w:r>
    </w:p>
    <w:p>
      <w:pPr>
        <w:pStyle w:val="Heading2"/>
      </w:pPr>
      <w:r>
        <w:t>tumorboard_type</w:t>
      </w:r>
    </w:p>
    <w:p>
      <w:r>
        <w:t>血液肿瘤委员会 - 初始治疗决策</w:t>
      </w:r>
    </w:p>
    <w:p>
      <w:pPr>
        <w:pStyle w:val="Heading2"/>
      </w:pPr>
      <w:r>
        <w:t>age</w:t>
      </w:r>
    </w:p>
    <w:p>
      <w:r>
        <w:t>62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急性髓系白血病 AML，新诊断，FLT3-ITD 阳性</w:t>
      </w:r>
    </w:p>
    <w:p>
      <w:pPr>
        <w:pStyle w:val="Heading2"/>
      </w:pPr>
      <w:r>
        <w:t>secondary_diagnoses</w:t>
      </w:r>
    </w:p>
    <w:p>
      <w:r>
        <w:t>2 型糖尿病；慢性肾病 2 期</w:t>
      </w:r>
    </w:p>
    <w:p>
      <w:pPr>
        <w:pStyle w:val="Heading2"/>
      </w:pPr>
      <w:r>
        <w:t>predictive_factors</w:t>
      </w:r>
    </w:p>
    <w:p>
      <w:r>
        <w:t>ELN 2022 中间风险：FLT3-ITD 阳性，合并 NPM1 突变</w:t>
        <w:br/>
        <w:t>FLT3-ITD 阳性；NPM1 突变；IDH1/2 野生型</w:t>
        <w:br/>
        <w:t>核型/FISH: 正常核型</w:t>
        <w:br/>
        <w:t>NGS/分子结果: FLT3-ITD allelic ratio 0.42；NPM1 mutation VAF 0.32；DNMT3A p.R882C VAF 0.37</w:t>
        <w:br/>
        <w:t>MRD: 诱导前不适用</w:t>
      </w:r>
    </w:p>
    <w:p>
      <w:pPr>
        <w:pStyle w:val="Heading2"/>
      </w:pPr>
      <w:r>
        <w:t>history</w:t>
      </w:r>
    </w:p>
    <w:p>
      <w:r>
        <w:t>患者因偶然发现全血细胞减少和外周血原始细胞转诊。骨髓显示 74% 原始细胞。</w:t>
        <w:br/>
        <w:t>患者生活可自理，无未控制感染，移植合并症指数为低-中等。</w:t>
        <w:br/>
        <w:t>既往治疗: 未接受过 AML 治疗。; 仅接受输血支持。</w:t>
        <w:br/>
        <w:t>血常规: WBC 18 x10^9/L，Hb 7.9 g/dL，PLT 22 x10^9/L</w:t>
        <w:br/>
        <w:t>骨髓情况: 74% 原始细胞，符合 AML 伴成熟</w:t>
        <w:br/>
        <w:t>可测量疾病: 骨髓原始细胞和 FLT3 分子标志物</w:t>
        <w:br/>
        <w:t>合并症和治疗限制: 可耐受强化诱导；肾功能需监测但不构成禁忌</w:t>
        <w:br/>
        <w:t>核型/FISH: 正常核型</w:t>
        <w:br/>
        <w:t>NGS/分子结果: FLT3-ITD allelic ratio 0.42；NPM1 mutation VAF 0.32；DNMT3A p.R882C VAF 0.37</w:t>
        <w:br/>
        <w:t>MRD: 诱导前不适用</w:t>
      </w:r>
    </w:p>
    <w:p>
      <w:pPr>
        <w:pStyle w:val="Heading2"/>
      </w:pPr>
      <w:r>
        <w:t>prior_treatments</w:t>
      </w:r>
    </w:p>
    <w:p>
      <w:r>
        <w:t>未接受过 AML 治疗。; 仅接受输血支持。</w:t>
      </w:r>
    </w:p>
    <w:p>
      <w:pPr>
        <w:pStyle w:val="Heading2"/>
      </w:pPr>
      <w:r>
        <w:t>question</w:t>
      </w:r>
    </w:p>
    <w:p>
      <w:r>
        <w:t>诱导治疗是否应加入 FLT3 抑制剂？首次缓解期是否应计划异基因移植？</w:t>
      </w:r>
    </w:p>
    <w:p>
      <w:pPr>
        <w:pStyle w:val="Heading2"/>
      </w:pPr>
      <w:r>
        <w:t>decision</w:t>
      </w:r>
    </w:p>
    <w:p>
      <w:r>
        <w:t>建议 7+3 联合 midostaurin 诱导治疗，缓解后进行巩固并启动供者搜索。是否在首次完全缓解期移植需结合治疗反应、MRD 和移植适应性讨论。</w:t>
      </w:r>
    </w:p>
    <w:p>
      <w:pPr>
        <w:pStyle w:val="Heading2"/>
      </w:pPr>
      <w:r>
        <w:t>rationale</w:t>
      </w:r>
    </w:p>
    <w:p>
      <w:r>
        <w:t>FLT3-ITD 阳性 AML 应整合 FLT3 抑制剂。由于复发风险仍有临床意义，早期移植评估合理。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