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strict_zh_leukemia_case_03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SIM-ZH-AML-003</w:t>
      </w:r>
    </w:p>
    <w:p>
      <w:pPr>
        <w:pStyle w:val="Heading2"/>
      </w:pPr>
      <w:r>
        <w:t>tumorboard_type</w:t>
      </w:r>
    </w:p>
    <w:p>
      <w:r>
        <w:t>血液肿瘤委员会 - 治疗选择</w:t>
      </w:r>
    </w:p>
    <w:p>
      <w:pPr>
        <w:pStyle w:val="Heading2"/>
      </w:pPr>
      <w:r>
        <w:t>age</w:t>
      </w:r>
    </w:p>
    <w:p>
      <w:r>
        <w:t>78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2</w:t>
      </w:r>
    </w:p>
    <w:p>
      <w:pPr>
        <w:pStyle w:val="Heading2"/>
      </w:pPr>
      <w:r>
        <w:t>main_diagnosis</w:t>
      </w:r>
    </w:p>
    <w:p>
      <w:r>
        <w:t>急性髓系白血病 AML，新诊断，不适合强化化疗</w:t>
      </w:r>
    </w:p>
    <w:p>
      <w:pPr>
        <w:pStyle w:val="Heading2"/>
      </w:pPr>
      <w:r>
        <w:t>secondary_diagnoses</w:t>
      </w:r>
    </w:p>
    <w:p>
      <w:r>
        <w:t>射血分数保留型心衰；慢性房颤；衰弱</w:t>
      </w:r>
    </w:p>
    <w:p>
      <w:pPr>
        <w:pStyle w:val="Heading2"/>
      </w:pPr>
      <w:r>
        <w:t>predictive_factors</w:t>
      </w:r>
    </w:p>
    <w:p>
      <w:r>
        <w:t>不良风险：复杂核型合并 TP53 突变</w:t>
        <w:br/>
        <w:t>TP53 突变；复杂核型；未检出 IDH1/2 可靶向突变</w:t>
        <w:br/>
        <w:t>核型/FISH: 复杂核型，含 del(5q)、-7 及其他异常</w:t>
        <w:br/>
        <w:t>NGS/分子结果: TP53 p.R248Q VAF 0.61；ASXL1 frameshift VAF 0.29</w:t>
        <w:br/>
        <w:t>MRD: 治疗前不适用</w:t>
      </w:r>
    </w:p>
    <w:p>
      <w:pPr>
        <w:pStyle w:val="Heading2"/>
      </w:pPr>
      <w:r>
        <w:t>history</w:t>
      </w:r>
    </w:p>
    <w:p>
      <w:r>
        <w:t>患者因输血依赖性贫血和反复感染就诊。骨髓活检提示由既往骨髓增生异常相关疾病演变而来的 AML。</w:t>
        <w:br/>
        <w:t>老年综合评估提示活动能力下降，强化化疗毒性风险高。</w:t>
        <w:br/>
        <w:t>既往治疗: 既往未接受 AML 治疗。; 曾因疑似 MDS 使用促红素治疗，疗效不持久。</w:t>
        <w:br/>
        <w:t>血常规: WBC 3.2 x10^9/L，Hb 7.4 g/dL，PLT 18 x10^9/L</w:t>
        <w:br/>
        <w:t>骨髓情况: 42% 髓系原始细胞，背景有明显发育异常</w:t>
        <w:br/>
        <w:t>可测量疾病: 骨髓原始细胞</w:t>
        <w:br/>
        <w:t>合并症和治疗限制: 因衰弱和心脏合并症，不适合强化诱导</w:t>
        <w:br/>
        <w:t>核型/FISH: 复杂核型，含 del(5q)、-7 及其他异常</w:t>
        <w:br/>
        <w:t>NGS/分子结果: TP53 p.R248Q VAF 0.61；ASXL1 frameshift VAF 0.29</w:t>
        <w:br/>
        <w:t>MRD: 治疗前不适用</w:t>
      </w:r>
    </w:p>
    <w:p>
      <w:pPr>
        <w:pStyle w:val="Heading2"/>
      </w:pPr>
      <w:r>
        <w:t>prior_treatments</w:t>
      </w:r>
    </w:p>
    <w:p>
      <w:r>
        <w:t>既往未接受 AML 治疗。; 曾因疑似 MDS 使用促红素治疗，疗效不持久。</w:t>
      </w:r>
    </w:p>
    <w:p>
      <w:pPr>
        <w:pStyle w:val="Heading2"/>
      </w:pPr>
      <w:r>
        <w:t>question</w:t>
      </w:r>
    </w:p>
    <w:p>
      <w:r>
        <w:t>该患者较合适的低强度治疗策略是什么？</w:t>
      </w:r>
    </w:p>
    <w:p>
      <w:pPr>
        <w:pStyle w:val="Heading2"/>
      </w:pPr>
      <w:r>
        <w:t>decision</w:t>
      </w:r>
    </w:p>
    <w:p>
      <w:r>
        <w:t>建议阿扎胞苷联合维奈克拉，谨慎剂量递增，配合抗感染预防、输血支持，并在第 1 个疗程后早期评估疗效。同时应讨论治疗目标和临床试验选择。</w:t>
      </w:r>
    </w:p>
    <w:p>
      <w:pPr>
        <w:pStyle w:val="Heading2"/>
      </w:pPr>
      <w:r>
        <w:t>rationale</w:t>
      </w:r>
    </w:p>
    <w:p>
      <w:r>
        <w:t>患者不适合强化化疗。HMA 联合维奈克拉是合理低强度方案，但 TP53 突变 AML 预后差，应充分沟通获益和风险。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