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strict_zh_leukemia_case_09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SIM-ZH-AML-009</w:t>
      </w:r>
    </w:p>
    <w:p>
      <w:pPr>
        <w:pStyle w:val="Heading2"/>
      </w:pPr>
      <w:r>
        <w:t>tumorboard_type</w:t>
      </w:r>
    </w:p>
    <w:p>
      <w:r>
        <w:t>血液肿瘤委员会 - 初始治疗决策</w:t>
      </w:r>
    </w:p>
    <w:p>
      <w:pPr>
        <w:pStyle w:val="Heading2"/>
      </w:pPr>
      <w:r>
        <w:t>age</w:t>
      </w:r>
    </w:p>
    <w:p>
      <w:r>
        <w:t>46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0</w:t>
      </w:r>
    </w:p>
    <w:p>
      <w:pPr>
        <w:pStyle w:val="Heading2"/>
      </w:pPr>
      <w:r>
        <w:t>main_diagnosis</w:t>
      </w:r>
    </w:p>
    <w:p>
      <w:r>
        <w:t>急性髓系白血病 AML，伴 inv(16)/CBFB::MYH11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ELN 2022 有利风险：核心结合因子 AML</w:t>
        <w:br/>
        <w:t>CBFB::MYH11 阳性；KIT D816V 低 VAF</w:t>
        <w:br/>
        <w:t>核型/FISH: inv(16)(p13.1q22) 阳性</w:t>
        <w:br/>
        <w:t>NGS/分子结果: CBFB::MYH11 阳性；KIT p.D816V VAF 0.08</w:t>
        <w:br/>
        <w:t>MRD: 治疗前 CBFB::MYH11 阳性</w:t>
      </w:r>
    </w:p>
    <w:p>
      <w:pPr>
        <w:pStyle w:val="Heading2"/>
      </w:pPr>
      <w:r>
        <w:t>history</w:t>
      </w:r>
    </w:p>
    <w:p>
      <w:r>
        <w:t>患者因白细胞升高和乏力就诊。骨髓显示 AML，伴嗜酸细胞异常。</w:t>
        <w:br/>
        <w:t>患者年轻且体能状态好，适合强化诱导和高剂量阿糖胞苷巩固。</w:t>
        <w:br/>
        <w:t>既往治疗: 无 AML 既往治疗。; 短期羟基脲细胞减灭。</w:t>
        <w:br/>
        <w:t>血常规: WBC 52 x10^9/L，Hb 9.0 g/dL，PLT 41 x10^9/L</w:t>
        <w:br/>
        <w:t>骨髓情况: 原始细胞 61%，形态提示核心结合因子 AML</w:t>
        <w:br/>
        <w:t>可测量疾病: CBFB::MYH11 转录本</w:t>
        <w:br/>
        <w:t>合并症和治疗限制: 可耐受强化治疗</w:t>
        <w:br/>
        <w:t>核型/FISH: inv(16)(p13.1q22) 阳性</w:t>
        <w:br/>
        <w:t>NGS/分子结果: CBFB::MYH11 阳性；KIT p.D816V VAF 0.08</w:t>
        <w:br/>
        <w:t>MRD: 治疗前 CBFB::MYH11 阳性</w:t>
      </w:r>
    </w:p>
    <w:p>
      <w:pPr>
        <w:pStyle w:val="Heading2"/>
      </w:pPr>
      <w:r>
        <w:t>prior_treatments</w:t>
      </w:r>
    </w:p>
    <w:p>
      <w:r>
        <w:t>无 AML 既往治疗。; 短期羟基脲细胞减灭。</w:t>
      </w:r>
    </w:p>
    <w:p>
      <w:pPr>
        <w:pStyle w:val="Heading2"/>
      </w:pPr>
      <w:r>
        <w:t>question</w:t>
      </w:r>
    </w:p>
    <w:p>
      <w:r>
        <w:t>是否应采用强化诱导和高剂量阿糖胞苷巩固？KIT 突变是否改变移植策略？</w:t>
      </w:r>
    </w:p>
    <w:p>
      <w:pPr>
        <w:pStyle w:val="Heading2"/>
      </w:pPr>
      <w:r>
        <w:t>decision</w:t>
      </w:r>
    </w:p>
    <w:p>
      <w:r>
        <w:t>建议标准强化诱导，缓解后高剂量阿糖胞苷巩固，并用 CBFB::MYH11 进行 MRD 监测。首次缓解期是否移植应主要依据 MRD 动态和复发风险。</w:t>
      </w:r>
    </w:p>
    <w:p>
      <w:pPr>
        <w:pStyle w:val="Heading2"/>
      </w:pPr>
      <w:r>
        <w:t>rationale</w:t>
      </w:r>
    </w:p>
    <w:p>
      <w:r>
        <w:t>核心结合因子 AML 总体预后较好，MRD 监测比单一 KIT 低 VAF 突变更能指导后续策略。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