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icrosoft YaHei"/>
          <w:b/>
          <w:sz w:val="32"/>
        </w:rPr>
        <w:t>strict_zh_leukemia_case_10</w:t>
      </w:r>
    </w:p>
    <w:p>
      <w:r>
        <w:t>模拟教学病例 - 非真实患者资料 - 仅用于本地 HemaGuide 流程测试</w:t>
      </w:r>
    </w:p>
    <w:p>
      <w:pPr>
        <w:pStyle w:val="Heading2"/>
      </w:pPr>
      <w:r>
        <w:t>patient_id</w:t>
      </w:r>
    </w:p>
    <w:p>
      <w:r>
        <w:t>SIM-ZH-AML-010</w:t>
      </w:r>
    </w:p>
    <w:p>
      <w:pPr>
        <w:pStyle w:val="Heading2"/>
      </w:pPr>
      <w:r>
        <w:t>tumorboard_type</w:t>
      </w:r>
    </w:p>
    <w:p>
      <w:r>
        <w:t>血液肿瘤委员会 - 初始治疗决策</w:t>
      </w:r>
    </w:p>
    <w:p>
      <w:pPr>
        <w:pStyle w:val="Heading2"/>
      </w:pPr>
      <w:r>
        <w:t>age</w:t>
      </w:r>
    </w:p>
    <w:p>
      <w:r>
        <w:t>29 岁</w:t>
      </w:r>
    </w:p>
    <w:p>
      <w:pPr>
        <w:pStyle w:val="Heading2"/>
      </w:pPr>
      <w:r>
        <w:t>sex</w:t>
      </w:r>
    </w:p>
    <w:p>
      <w:r>
        <w:t>女</w:t>
      </w:r>
    </w:p>
    <w:p>
      <w:pPr>
        <w:pStyle w:val="Heading2"/>
      </w:pPr>
      <w:r>
        <w:t>ECOG</w:t>
      </w:r>
    </w:p>
    <w:p>
      <w:r>
        <w:t>0</w:t>
      </w:r>
    </w:p>
    <w:p>
      <w:pPr>
        <w:pStyle w:val="Heading2"/>
      </w:pPr>
      <w:r>
        <w:t>main_diagnosis</w:t>
      </w:r>
    </w:p>
    <w:p>
      <w:r>
        <w:t>急性髓系白血病 AML，伴 t(8;21)/RUNX1::RUNX1T1</w:t>
      </w:r>
    </w:p>
    <w:p>
      <w:pPr>
        <w:pStyle w:val="Heading2"/>
      </w:pPr>
      <w:r>
        <w:t>secondary_diagnoses</w:t>
      </w:r>
    </w:p>
    <w:p>
      <w:r>
        <w:t>无重要合并症</w:t>
      </w:r>
    </w:p>
    <w:p>
      <w:pPr>
        <w:pStyle w:val="Heading2"/>
      </w:pPr>
      <w:r>
        <w:t>predictive_factors</w:t>
      </w:r>
    </w:p>
    <w:p>
      <w:r>
        <w:t>ELN 2022 有利风险：核心结合因子 AML</w:t>
        <w:br/>
        <w:t>RUNX1::RUNX1T1 阳性；FLT3-ITD 阴性</w:t>
        <w:br/>
        <w:t>核型/FISH: t(8;21)(q22;q22) 阳性</w:t>
        <w:br/>
        <w:t>NGS/分子结果: RUNX1::RUNX1T1 阳性；FLT3-ITD 阴性；RAS 通路低频突变</w:t>
        <w:br/>
        <w:t>MRD: 治疗前 RUNX1::RUNX1T1 阳性</w:t>
      </w:r>
    </w:p>
    <w:p>
      <w:pPr>
        <w:pStyle w:val="Heading2"/>
      </w:pPr>
      <w:r>
        <w:t>history</w:t>
      </w:r>
    </w:p>
    <w:p>
      <w:r>
        <w:t>患者因发热和中性粒细胞减少入院。骨髓证实 AML，融合基因 RUNX1::RUNX1T1 阳性。</w:t>
        <w:br/>
        <w:t>患者年轻，肾肝心功能正常。</w:t>
        <w:br/>
        <w:t>既往治疗: 无既往 AML 治疗。</w:t>
        <w:br/>
        <w:t>血常规: WBC 11 x10^9/L，Hb 8.5 g/dL，PLT 32 x10^9/L</w:t>
        <w:br/>
        <w:t>骨髓情况: 原始细胞 54%，免疫表型符合 AML</w:t>
        <w:br/>
        <w:t>可测量疾病: RUNX1::RUNX1T1 转录本</w:t>
        <w:br/>
        <w:t>合并症和治疗限制: 可耐受强化诱导和巩固</w:t>
        <w:br/>
        <w:t>核型/FISH: t(8;21)(q22;q22) 阳性</w:t>
        <w:br/>
        <w:t>NGS/分子结果: RUNX1::RUNX1T1 阳性；FLT3-ITD 阴性；RAS 通路低频突变</w:t>
        <w:br/>
        <w:t>MRD: 治疗前 RUNX1::RUNX1T1 阳性</w:t>
      </w:r>
    </w:p>
    <w:p>
      <w:pPr>
        <w:pStyle w:val="Heading2"/>
      </w:pPr>
      <w:r>
        <w:t>prior_treatments</w:t>
      </w:r>
    </w:p>
    <w:p>
      <w:r>
        <w:t>无既往 AML 治疗。</w:t>
      </w:r>
    </w:p>
    <w:p>
      <w:pPr>
        <w:pStyle w:val="Heading2"/>
      </w:pPr>
      <w:r>
        <w:t>question</w:t>
      </w:r>
    </w:p>
    <w:p>
      <w:r>
        <w:t>一线治疗和缓解后巩固应如何安排？</w:t>
      </w:r>
    </w:p>
    <w:p>
      <w:pPr>
        <w:pStyle w:val="Heading2"/>
      </w:pPr>
      <w:r>
        <w:t>decision</w:t>
      </w:r>
    </w:p>
    <w:p>
      <w:r>
        <w:t>建议标准强化诱导，缓解后高剂量阿糖胞苷巩固，并进行融合基因 MRD 监测。若 MRD 清除良好，不常规建议首次缓解期异基因移植。</w:t>
      </w:r>
    </w:p>
    <w:p>
      <w:pPr>
        <w:pStyle w:val="Heading2"/>
      </w:pPr>
      <w:r>
        <w:t>rationale</w:t>
      </w:r>
    </w:p>
    <w:p>
      <w:r>
        <w:t>t(8;21) AML 属有利风险，标准策略为强化诱导加阿糖胞苷巩固，MRD 是后续升级治疗的重要依据。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