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strict_zh_leukemia_case_11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SIM-ZH-AML-011</w:t>
      </w:r>
    </w:p>
    <w:p>
      <w:pPr>
        <w:pStyle w:val="Heading2"/>
      </w:pPr>
      <w:r>
        <w:t>tumorboard_type</w:t>
      </w:r>
    </w:p>
    <w:p>
      <w:r>
        <w:t>血液肿瘤委员会 - 难治 AML</w:t>
      </w:r>
    </w:p>
    <w:p>
      <w:pPr>
        <w:pStyle w:val="Heading2"/>
      </w:pPr>
      <w:r>
        <w:t>age</w:t>
      </w:r>
    </w:p>
    <w:p>
      <w:r>
        <w:t>58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急性髓系白血病 AML，7+3 诱导后原发难治</w:t>
      </w:r>
    </w:p>
    <w:p>
      <w:pPr>
        <w:pStyle w:val="Heading2"/>
      </w:pPr>
      <w:r>
        <w:t>secondary_diagnoses</w:t>
      </w:r>
    </w:p>
    <w:p>
      <w:r>
        <w:t>高脂血症；轻度肺气肿</w:t>
      </w:r>
    </w:p>
    <w:p>
      <w:pPr>
        <w:pStyle w:val="Heading2"/>
      </w:pPr>
      <w:r>
        <w:t>predictive_factors</w:t>
      </w:r>
    </w:p>
    <w:p>
      <w:r>
        <w:t>不良风险：RUNX1 突变，ASXL1 突变</w:t>
        <w:br/>
        <w:t>RUNX1、ASXL1、SRSF2 突变；FLT3/IDH 阴性</w:t>
        <w:br/>
        <w:t>核型/FISH: 正常核型</w:t>
        <w:br/>
        <w:t>NGS/分子结果: RUNX1 p.R201Q VAF 0.36；ASXL1 frameshift VAF 0.33；SRSF2 p.P95H VAF 0.22</w:t>
        <w:br/>
        <w:t>MRD: 诱导失败，形态学残留明显</w:t>
      </w:r>
    </w:p>
    <w:p>
      <w:pPr>
        <w:pStyle w:val="Heading2"/>
      </w:pPr>
      <w:r>
        <w:t>history</w:t>
      </w:r>
    </w:p>
    <w:p>
      <w:r>
        <w:t>患者初诊 AML 后接受 7+3 诱导。第 28 天骨髓仍有 38% 原始细胞。</w:t>
        <w:br/>
        <w:t>患者目前感染已控制，体能状态尚可，已完成 HLA 分型。</w:t>
        <w:br/>
        <w:t>既往治疗: 7+3 强化诱导 1 个疗程。; 抗感染和输血支持。</w:t>
        <w:br/>
        <w:t>血常规: WBC 1.4 x10^9/L，Hb 8.3 g/dL，PLT 24 x10^9/L</w:t>
        <w:br/>
        <w:t>骨髓情况: 诱导后第 28 天原始细胞 38%</w:t>
        <w:br/>
        <w:t>可测量疾病: 骨髓原始细胞和突变克隆</w:t>
        <w:br/>
        <w:t>合并症和治疗限制: 可考虑挽救强化治疗；感染风险高</w:t>
        <w:br/>
        <w:t>核型/FISH: 正常核型</w:t>
        <w:br/>
        <w:t>NGS/分子结果: RUNX1 p.R201Q VAF 0.36；ASXL1 frameshift VAF 0.33；SRSF2 p.P95H VAF 0.22</w:t>
        <w:br/>
        <w:t>MRD: 诱导失败，形态学残留明显</w:t>
      </w:r>
    </w:p>
    <w:p>
      <w:pPr>
        <w:pStyle w:val="Heading2"/>
      </w:pPr>
      <w:r>
        <w:t>prior_treatments</w:t>
      </w:r>
    </w:p>
    <w:p>
      <w:r>
        <w:t>7+3 强化诱导 1 个疗程。; 抗感染和输血支持。</w:t>
      </w:r>
    </w:p>
    <w:p>
      <w:pPr>
        <w:pStyle w:val="Heading2"/>
      </w:pPr>
      <w:r>
        <w:t>question</w:t>
      </w:r>
    </w:p>
    <w:p>
      <w:r>
        <w:t>诱导失败后应选择何种挽救方案并如何衔接移植？</w:t>
      </w:r>
    </w:p>
    <w:p>
      <w:pPr>
        <w:pStyle w:val="Heading2"/>
      </w:pPr>
      <w:r>
        <w:t>decision</w:t>
      </w:r>
    </w:p>
    <w:p>
      <w:r>
        <w:t>建议进入临床试验或采用 FLAG-IDA/CLAG-M 等挽救方案争取缓解，同时继续供者搜索；若获得足够疾病控制，应尽快桥接异基因移植。</w:t>
      </w:r>
    </w:p>
    <w:p>
      <w:pPr>
        <w:pStyle w:val="Heading2"/>
      </w:pPr>
      <w:r>
        <w:t>rationale</w:t>
      </w:r>
    </w:p>
    <w:p>
      <w:r>
        <w:t>原发难治 AML 预后差，治疗目标是尽快获得可移植状态。试验优先，标准挽救治疗可作为替代。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