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strict_zh_leukemia_case_15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SIM-ZH-TALL-015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24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0</w:t>
      </w:r>
    </w:p>
    <w:p>
      <w:pPr>
        <w:pStyle w:val="Heading2"/>
      </w:pPr>
      <w:r>
        <w:t>main_diagnosis</w:t>
      </w:r>
    </w:p>
    <w:p>
      <w:r>
        <w:t>T 细胞急性淋巴细胞白血病 T-ALL，新诊断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年轻成人 T-ALL，初诊高白细胞</w:t>
        <w:br/>
        <w:t>CD3、CD7、TdT 阳性；NOTCH1 突变</w:t>
        <w:br/>
        <w:t>核型/FISH: 常规核型未见 Ph 染色体</w:t>
        <w:br/>
        <w:t>NGS/分子结果: NOTCH1 mutation VAF 0.41；FBXW7 mutation VAF 0.18</w:t>
        <w:br/>
        <w:t>MRD: 治疗前不适用</w:t>
      </w:r>
    </w:p>
    <w:p>
      <w:pPr>
        <w:pStyle w:val="Heading2"/>
      </w:pPr>
      <w:r>
        <w:t>history</w:t>
      </w:r>
    </w:p>
    <w:p>
      <w:r>
        <w:t>患者因纵隔肿块、胸闷和白细胞升高就诊。骨髓和淋巴结检查符合 T-ALL。</w:t>
        <w:br/>
        <w:t>脑脊液检查未见白血病细胞。患者体能状态良好。</w:t>
        <w:br/>
        <w:t>既往治疗: 诊断后短期地塞米松预处理。; 水化和肿瘤溶解预防。</w:t>
        <w:br/>
        <w:t>血常规: WBC 96 x10^9/L，Hb 10.4 g/dL，PLT 62 x10^9/L</w:t>
        <w:br/>
        <w:t>骨髓情况: T 淋巴母细胞 82%</w:t>
        <w:br/>
        <w:t>可测量疾病: 骨髓母细胞和流式 MRD</w:t>
        <w:br/>
        <w:t>合并症和治疗限制: 适合儿童样强化方案；需监测肿瘤溶解和纵隔压迫</w:t>
        <w:br/>
        <w:t>核型/FISH: 常规核型未见 Ph 染色体</w:t>
        <w:br/>
        <w:t>NGS/分子结果: NOTCH1 mutation VAF 0.41；FBXW7 mutation VAF 0.18</w:t>
        <w:br/>
        <w:t>MRD: 治疗前不适用</w:t>
      </w:r>
    </w:p>
    <w:p>
      <w:pPr>
        <w:pStyle w:val="Heading2"/>
      </w:pPr>
      <w:r>
        <w:t>prior_treatments</w:t>
      </w:r>
    </w:p>
    <w:p>
      <w:r>
        <w:t>诊断后短期地塞米松预处理。; 水化和肿瘤溶解预防。</w:t>
      </w:r>
    </w:p>
    <w:p>
      <w:pPr>
        <w:pStyle w:val="Heading2"/>
      </w:pPr>
      <w:r>
        <w:t>question</w:t>
      </w:r>
    </w:p>
    <w:p>
      <w:r>
        <w:t>年轻成人 T-ALL 一线应采用何种方案？是否需要 upfront 移植？</w:t>
      </w:r>
    </w:p>
    <w:p>
      <w:pPr>
        <w:pStyle w:val="Heading2"/>
      </w:pPr>
      <w:r>
        <w:t>decision</w:t>
      </w:r>
    </w:p>
    <w:p>
      <w:r>
        <w:t>建议采用儿童样/青少年成人 ALL 强化方案，包含 CNS 预防，并以早期 MRD 结果指导是否升级至异基因移植。</w:t>
      </w:r>
    </w:p>
    <w:p>
      <w:pPr>
        <w:pStyle w:val="Heading2"/>
      </w:pPr>
      <w:r>
        <w:t>rationale</w:t>
      </w:r>
    </w:p>
    <w:p>
      <w:r>
        <w:t>年轻成人 T-ALL 通常优先采用儿童样方案。是否移植应依据 MRD、诱导反应和高危特征，而不是初诊即一概决定。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