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Microsoft YaHei"/>
          <w:b/>
          <w:sz w:val="32"/>
        </w:rPr>
        <w:t>strict_zh_leukemia_case_17</w:t>
      </w:r>
    </w:p>
    <w:p>
      <w:r>
        <w:t>模拟教学病例 - 非真实患者资料 - 仅用于本地 HemaGuide 流程测试</w:t>
      </w:r>
    </w:p>
    <w:p>
      <w:pPr>
        <w:pStyle w:val="Heading2"/>
      </w:pPr>
      <w:r>
        <w:t>patient_id</w:t>
      </w:r>
    </w:p>
    <w:p>
      <w:r>
        <w:t>SIM-ZH-BALL-017</w:t>
      </w:r>
    </w:p>
    <w:p>
      <w:pPr>
        <w:pStyle w:val="Heading2"/>
      </w:pPr>
      <w:r>
        <w:t>tumorboard_type</w:t>
      </w:r>
    </w:p>
    <w:p>
      <w:r>
        <w:t>血液肿瘤委员会 - 初始治疗与靶向策略</w:t>
      </w:r>
    </w:p>
    <w:p>
      <w:pPr>
        <w:pStyle w:val="Heading2"/>
      </w:pPr>
      <w:r>
        <w:t>age</w:t>
      </w:r>
    </w:p>
    <w:p>
      <w:r>
        <w:t>19 岁</w:t>
      </w:r>
    </w:p>
    <w:p>
      <w:pPr>
        <w:pStyle w:val="Heading2"/>
      </w:pPr>
      <w:r>
        <w:t>sex</w:t>
      </w:r>
    </w:p>
    <w:p>
      <w:r>
        <w:t>女</w:t>
      </w:r>
    </w:p>
    <w:p>
      <w:pPr>
        <w:pStyle w:val="Heading2"/>
      </w:pPr>
      <w:r>
        <w:t>ECOG</w:t>
      </w:r>
    </w:p>
    <w:p>
      <w:r>
        <w:t>1</w:t>
      </w:r>
    </w:p>
    <w:p>
      <w:pPr>
        <w:pStyle w:val="Heading2"/>
      </w:pPr>
      <w:r>
        <w:t>main_diagnosis</w:t>
      </w:r>
    </w:p>
    <w:p>
      <w:r>
        <w:t>Ph-like B 细胞急性淋巴细胞白血病，新诊断</w:t>
      </w:r>
    </w:p>
    <w:p>
      <w:pPr>
        <w:pStyle w:val="Heading2"/>
      </w:pPr>
      <w:r>
        <w:t>secondary_diagnoses</w:t>
      </w:r>
    </w:p>
    <w:p>
      <w:r>
        <w:t>无重要合并症</w:t>
      </w:r>
    </w:p>
    <w:p>
      <w:pPr>
        <w:pStyle w:val="Heading2"/>
      </w:pPr>
      <w:r>
        <w:t>predictive_factors</w:t>
      </w:r>
    </w:p>
    <w:p>
      <w:r>
        <w:t>Ph-like ALL，高危分子亚型</w:t>
        <w:br/>
        <w:t>CRLF2 重排；JAK2 p.R683G 突变；BCR::ABL1 阴性</w:t>
        <w:br/>
        <w:t>核型/FISH: BCR::ABL1 阴性；CRLF2 重排阳性</w:t>
        <w:br/>
        <w:t>NGS/分子结果: JAK2 p.R683G VAF 0.29；IKZF1 deletion</w:t>
        <w:br/>
        <w:t>MRD: 治疗前不适用</w:t>
      </w:r>
    </w:p>
    <w:p>
      <w:pPr>
        <w:pStyle w:val="Heading2"/>
      </w:pPr>
      <w:r>
        <w:t>history</w:t>
      </w:r>
    </w:p>
    <w:p>
      <w:r>
        <w:t>患者因发热、骨痛和贫血就诊。骨髓提示 B-ALL，Ph 阴性，但基因表达和分子检测支持 Ph-like ALL。</w:t>
        <w:br/>
        <w:t>患者年轻，适合强化方案，正在评估临床试验可及性。</w:t>
        <w:br/>
        <w:t>既往治疗: 激素预处理。; CNS 预防计划中。</w:t>
        <w:br/>
        <w:t>血常规: WBC 38 x10^9/L，Hb 7.7 g/dL，PLT 28 x10^9/L</w:t>
        <w:br/>
        <w:t>骨髓情况: B 淋巴母细胞 91%</w:t>
        <w:br/>
        <w:t>可测量疾病: 流式 MRD 和分子异常</w:t>
        <w:br/>
        <w:t>合并症和治疗限制: 年轻可耐受强化；靶向药可及性需确认</w:t>
        <w:br/>
        <w:t>核型/FISH: BCR::ABL1 阴性；CRLF2 重排阳性</w:t>
        <w:br/>
        <w:t>NGS/分子结果: JAK2 p.R683G VAF 0.29；IKZF1 deletion</w:t>
        <w:br/>
        <w:t>MRD: 治疗前不适用</w:t>
      </w:r>
    </w:p>
    <w:p>
      <w:pPr>
        <w:pStyle w:val="Heading2"/>
      </w:pPr>
      <w:r>
        <w:t>prior_treatments</w:t>
      </w:r>
    </w:p>
    <w:p>
      <w:r>
        <w:t>激素预处理。; CNS 预防计划中。</w:t>
      </w:r>
    </w:p>
    <w:p>
      <w:pPr>
        <w:pStyle w:val="Heading2"/>
      </w:pPr>
      <w:r>
        <w:t>question</w:t>
      </w:r>
    </w:p>
    <w:p>
      <w:r>
        <w:t>Ph-like ALL 是否应考虑 JAK 抑制剂或临床试验，并如何安排一线治疗？</w:t>
      </w:r>
    </w:p>
    <w:p>
      <w:pPr>
        <w:pStyle w:val="Heading2"/>
      </w:pPr>
      <w:r>
        <w:t>decision</w:t>
      </w:r>
    </w:p>
    <w:p>
      <w:r>
        <w:t>建议采用儿童样/AYA ALL 强化方案并优先考虑 Ph-like ALL 相关临床试验；若试验可及，可讨论加入 JAK 通路靶向策略。MRD 将决定后续是否移植。</w:t>
      </w:r>
    </w:p>
    <w:p>
      <w:pPr>
        <w:pStyle w:val="Heading2"/>
      </w:pPr>
      <w:r>
        <w:t>rationale</w:t>
      </w:r>
    </w:p>
    <w:p>
      <w:r>
        <w:t>Ph-like ALL 复发风险较高，标准强化治疗需结合 MRD，靶向治疗目前更适合作为试验或个体化策略。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