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strict_zh_leukemia_case_18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SIM-ZH-MPAL-018</w:t>
      </w:r>
    </w:p>
    <w:p>
      <w:pPr>
        <w:pStyle w:val="Heading2"/>
      </w:pPr>
      <w:r>
        <w:t>tumorboard_type</w:t>
      </w:r>
    </w:p>
    <w:p>
      <w:r>
        <w:t>血液肿瘤委员会 - 罕见急性白血病</w:t>
      </w:r>
    </w:p>
    <w:p>
      <w:pPr>
        <w:pStyle w:val="Heading2"/>
      </w:pPr>
      <w:r>
        <w:t>age</w:t>
      </w:r>
    </w:p>
    <w:p>
      <w:r>
        <w:t>33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混合表型急性白血病 MPAL，B/髓系表型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MPAL，高危；Ph 阴性</w:t>
        <w:br/>
        <w:t>CD19、CD34、MPO 阳性；BCR::ABL1 阴性</w:t>
        <w:br/>
        <w:t>核型/FISH: 复杂度低，BCR::ABL1 阴性，KMT2A 重排阴性</w:t>
        <w:br/>
        <w:t>NGS/分子结果: WT1 mutation VAF 0.22；RAS pathway mutation VAF 0.18</w:t>
        <w:br/>
        <w:t>MRD: 治疗前不适用</w:t>
      </w:r>
    </w:p>
    <w:p>
      <w:pPr>
        <w:pStyle w:val="Heading2"/>
      </w:pPr>
      <w:r>
        <w:t>history</w:t>
      </w:r>
    </w:p>
    <w:p>
      <w:r>
        <w:t>患者因发热和白细胞升高就诊。骨髓免疫表型同时满足 B 系和髓系标准。</w:t>
        <w:br/>
        <w:t>患者年轻且可耐受强化治疗，已有兄弟姐妹 HLA 配型进行中。</w:t>
        <w:br/>
        <w:t>既往治疗: 无白血病特异治疗。; 短期羟基脲降白。</w:t>
        <w:br/>
        <w:t>血常规: WBC 64 x10^9/L，Hb 8.4 g/dL，PLT 35 x10^9/L</w:t>
        <w:br/>
        <w:t>骨髓情况: 原始细胞 76%，B/髓系混合表型</w:t>
        <w:br/>
        <w:t>可测量疾病: 流式 MRD，多表型标志物</w:t>
        <w:br/>
        <w:t>合并症和治疗限制: 需选择 ALL 样还是 AML 样诱导，并规划移植</w:t>
        <w:br/>
        <w:t>核型/FISH: 复杂度低，BCR::ABL1 阴性，KMT2A 重排阴性</w:t>
        <w:br/>
        <w:t>NGS/分子结果: WT1 mutation VAF 0.22；RAS pathway mutation VAF 0.18</w:t>
        <w:br/>
        <w:t>MRD: 治疗前不适用</w:t>
      </w:r>
    </w:p>
    <w:p>
      <w:pPr>
        <w:pStyle w:val="Heading2"/>
      </w:pPr>
      <w:r>
        <w:t>prior_treatments</w:t>
      </w:r>
    </w:p>
    <w:p>
      <w:r>
        <w:t>无白血病特异治疗。; 短期羟基脲降白。</w:t>
      </w:r>
    </w:p>
    <w:p>
      <w:pPr>
        <w:pStyle w:val="Heading2"/>
      </w:pPr>
      <w:r>
        <w:t>question</w:t>
      </w:r>
    </w:p>
    <w:p>
      <w:r>
        <w:t>MPAL 初始治疗应偏向 ALL 样方案还是 AML 样方案？是否应计划首次缓解期移植？</w:t>
      </w:r>
    </w:p>
    <w:p>
      <w:pPr>
        <w:pStyle w:val="Heading2"/>
      </w:pPr>
      <w:r>
        <w:t>decision</w:t>
      </w:r>
    </w:p>
    <w:p>
      <w:r>
        <w:t>建议采用 ALL 样诱导方案并严密 MRD 监测，同时启动异基因移植评估。若达到缓解，应积极讨论首次缓解期移植。</w:t>
      </w:r>
    </w:p>
    <w:p>
      <w:pPr>
        <w:pStyle w:val="Heading2"/>
      </w:pPr>
      <w:r>
        <w:t>rationale</w:t>
      </w:r>
    </w:p>
    <w:p>
      <w:r>
        <w:t>多项实践中 MPAL 常优先采用 ALL 样方案，整体复发风险较高，移植评估应尽早进行。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