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sz w:val="40"/>
        </w:rPr>
        <w:t>MICM综合诊断报告 - 肿瘤委员会病例摘要格式</w:t>
      </w:r>
    </w:p>
    <w:p>
      <w:r>
        <w:rPr>
          <w:i/>
          <w:sz w:val="20"/>
        </w:rPr>
        <w:t>由原始 MICM 检验报告整理为 HemaGuide query_input 测试格式；请结合临床医生判断。</w:t>
      </w:r>
    </w:p>
    <w:p>
      <w:pPr>
        <w:pStyle w:val="Heading1"/>
      </w:pPr>
      <w:r>
        <w:t>肿瘤委员会病例摘要</w:t>
      </w:r>
    </w:p>
    <w:p>
      <w:r>
        <w:rPr>
          <w:b/>
        </w:rPr>
        <w:t>肿瘤委员会类型：</w:t>
      </w:r>
      <w:r>
        <w:t>血液肿瘤委员会 - 初诊 AML 的诊断确认、危险分层、MRD 标志物和初始治疗建议</w:t>
      </w:r>
    </w:p>
    <w:p>
      <w:r>
        <w:rPr>
          <w:b/>
        </w:rPr>
        <w:t>患者编号：</w:t>
      </w:r>
      <w:r>
        <w:t>MICM-AML-M2B-001</w:t>
      </w:r>
    </w:p>
    <w:p>
      <w:r>
        <w:rPr>
          <w:b/>
        </w:rPr>
        <w:t>年龄：</w:t>
      </w:r>
      <w:r>
        <w:t>未提供</w:t>
      </w:r>
    </w:p>
    <w:p>
      <w:r>
        <w:rPr>
          <w:b/>
        </w:rPr>
        <w:t>性别：</w:t>
      </w:r>
      <w:r>
        <w:t>未提供</w:t>
      </w:r>
    </w:p>
    <w:p>
      <w:r>
        <w:rPr>
          <w:b/>
        </w:rPr>
        <w:t>ECOG：</w:t>
      </w:r>
      <w:r>
        <w:t>未提供</w:t>
      </w:r>
    </w:p>
    <w:p>
      <w:r>
        <w:rPr>
          <w:b/>
        </w:rPr>
        <w:t>主要诊断：</w:t>
      </w:r>
      <w:r>
        <w:t>急性髓系白血病 AML，形态学提示 AML-M2b；伴 t(8;21)(q22;q22) / RUNX1-RUNX1T1 定量阳性，符合核心结合因子 AML 特征。</w:t>
      </w:r>
    </w:p>
    <w:p>
      <w:r>
        <w:rPr>
          <w:b/>
        </w:rPr>
        <w:t>合并诊断：</w:t>
      </w:r>
      <w:r>
        <w:t>未提供</w:t>
      </w:r>
    </w:p>
    <w:p>
      <w:r>
        <w:rPr>
          <w:b/>
        </w:rPr>
        <w:t>危险分层/预后因素：</w:t>
      </w:r>
      <w:r>
        <w:t>t(8;21) / RUNX1-RUNX1T1 阳性提示核心结合因子 AML；同时存在 KIT-VD p.D816V 突变，VAF 37.2%，需纳入复发风险和 MRD 管理讨论。</w:t>
      </w:r>
    </w:p>
    <w:p>
      <w:pPr>
        <w:pStyle w:val="Heading2"/>
      </w:pPr>
      <w:r>
        <w:t>已完成检查</w:t>
      </w:r>
    </w:p>
    <w:p>
      <w:pPr>
        <w:pStyle w:val="ListBullet"/>
      </w:pPr>
      <w:r>
        <w:t>已完成形态学和细胞化学检查。</w:t>
      </w:r>
    </w:p>
    <w:p>
      <w:pPr>
        <w:pStyle w:val="ListBullet"/>
      </w:pPr>
      <w:r>
        <w:t>已完成流式细胞术免疫表型分析。</w:t>
      </w:r>
    </w:p>
    <w:p>
      <w:pPr>
        <w:pStyle w:val="ListBullet"/>
      </w:pPr>
      <w:r>
        <w:t>已完成染色体核型分析。</w:t>
      </w:r>
    </w:p>
    <w:p>
      <w:pPr>
        <w:pStyle w:val="ListBullet"/>
      </w:pPr>
      <w:r>
        <w:t>已完成融合基因和分子突变检测。</w:t>
      </w:r>
    </w:p>
    <w:p>
      <w:pPr>
        <w:pStyle w:val="Heading2"/>
      </w:pPr>
      <w:r>
        <w:t>形态学和细胞化学结果</w:t>
      </w:r>
    </w:p>
    <w:p>
      <w:pPr>
        <w:pStyle w:val="ListBullet"/>
      </w:pPr>
      <w:r>
        <w:t>骨髓增生明显活跃，粒红比 24.29:1。</w:t>
      </w:r>
    </w:p>
    <w:p>
      <w:pPr>
        <w:pStyle w:val="ListBullet"/>
      </w:pPr>
      <w:r>
        <w:t>髓片中原粒细胞占 71.5%，细胞体圆或类圆，大小不一，胞核圆或类圆，可见凹陷、折叠、分叶，核染色质较细致疏松，核仁显隐不一，胞浆可见嗜天青颗粒。</w:t>
      </w:r>
    </w:p>
    <w:p>
      <w:pPr>
        <w:pStyle w:val="ListBullet"/>
      </w:pPr>
      <w:r>
        <w:t>另见发育不平衡的异常中幼粒细胞约占 8.5%。</w:t>
      </w:r>
    </w:p>
    <w:p>
      <w:pPr>
        <w:pStyle w:val="ListBullet"/>
      </w:pPr>
      <w:r>
        <w:t>血片中原粒细胞占 23%，可见幼粒细胞。</w:t>
      </w:r>
    </w:p>
    <w:p>
      <w:pPr>
        <w:pStyle w:val="ListBullet"/>
      </w:pPr>
      <w:r>
        <w:t>红系和巨核系增生极度低下，血小板散在少见；髓片中偶见噬血组织细胞。</w:t>
      </w:r>
    </w:p>
    <w:p>
      <w:pPr>
        <w:pStyle w:val="ListBullet"/>
      </w:pPr>
      <w:r>
        <w:t>形态学诊断意见：结合细胞形态及组化染色，提示 AML-M2b 骨髓象。</w:t>
      </w:r>
    </w:p>
    <w:p>
      <w:pPr>
        <w:pStyle w:val="Heading2"/>
      </w:pPr>
      <w:r>
        <w:t>流式细胞术 / 免疫学结果</w:t>
      </w:r>
    </w:p>
    <w:p>
      <w:pPr>
        <w:pStyle w:val="ListBullet"/>
      </w:pPr>
      <w:r>
        <w:t>以所有 WBC 设门，骨髓中原幼细胞约占 23.0%。</w:t>
      </w:r>
    </w:p>
    <w:p>
      <w:pPr>
        <w:pStyle w:val="ListBullet"/>
      </w:pPr>
      <w:r>
        <w:t>原幼细胞表达 CD13dim、CD38、CD33dim、CD34、CD123、HLA-DRst、CD117、CD71、CD45。</w:t>
      </w:r>
    </w:p>
    <w:p>
      <w:pPr>
        <w:pStyle w:val="ListBullet"/>
      </w:pPr>
      <w:r>
        <w:t>异常表达 CD19 24.2%、CD56 99.9%、CD79a 15.2%。</w:t>
      </w:r>
    </w:p>
    <w:p>
      <w:pPr>
        <w:pStyle w:val="ListBullet"/>
      </w:pPr>
      <w:r>
        <w:t>不表达 CD2、CD3、CD4、CD5、CD7、CD10、CD22、CD11B、CD11C、CD14、CD15、CD16、CD36、CD64、CD61、CD42a、CD138、CD203c、NG2、cCD3。</w:t>
      </w:r>
    </w:p>
    <w:p>
      <w:pPr>
        <w:pStyle w:val="ListBullet"/>
      </w:pPr>
      <w:r>
        <w:t>免疫表型符合髓系来源，考虑 AML。</w:t>
      </w:r>
    </w:p>
    <w:p>
      <w:pPr>
        <w:pStyle w:val="ListBullet"/>
      </w:pPr>
      <w:r>
        <w:t>LAIP 特征：CD56+CD117+，CD34-CD117+dimCD33dimHLA-DRstCD45+，建议用于后续 MRD 监测。</w:t>
      </w:r>
    </w:p>
    <w:p>
      <w:pPr>
        <w:pStyle w:val="Heading2"/>
      </w:pPr>
      <w:r>
        <w:t>细胞遗传学结果</w:t>
      </w:r>
    </w:p>
    <w:p>
      <w:pPr>
        <w:pStyle w:val="ListBullet"/>
      </w:pPr>
      <w:r>
        <w:t>直接法未培养：检测核型数 3，正常核型数 2，异常核型数 1；核型结果 44,X,-Y,t(8;21)(q22;q22),-15。</w:t>
      </w:r>
    </w:p>
    <w:p>
      <w:pPr>
        <w:pStyle w:val="ListBullet"/>
      </w:pPr>
      <w:r>
        <w:t>24 小时培养法：检测核型数 7，正常核型数 0，异常核型数 7；核型结果 45,X,-Y,t(8;21)(q22;q22)。</w:t>
      </w:r>
    </w:p>
    <w:p>
      <w:pPr>
        <w:pStyle w:val="ListBullet"/>
      </w:pPr>
      <w:r>
        <w:t>综合核型结果：42~45,X,-Y,t(8;21)(q22;q22)[cp8]/46,XY。</w:t>
      </w:r>
    </w:p>
    <w:p>
      <w:pPr>
        <w:pStyle w:val="ListBullet"/>
      </w:pPr>
      <w:r>
        <w:t>提示存在 t(8;21)(q22;q22)，并见低二倍体克隆，建议随访复查。</w:t>
      </w:r>
    </w:p>
    <w:p>
      <w:pPr>
        <w:pStyle w:val="Heading2"/>
      </w:pPr>
      <w:r>
        <w:t>分子生物学结果</w:t>
      </w:r>
    </w:p>
    <w:p>
      <w:pPr>
        <w:pStyle w:val="ListBullet"/>
      </w:pPr>
      <w:r>
        <w:t>RUNX1-RUNX1T1 定量：阳性。</w:t>
      </w:r>
    </w:p>
    <w:p>
      <w:pPr>
        <w:pStyle w:val="ListBullet"/>
      </w:pPr>
      <w:r>
        <w:t>KIT-VD：发现 KIT-VD p.D816V 突变，VAF 37.2%。</w:t>
      </w:r>
    </w:p>
    <w:p>
      <w:pPr>
        <w:pStyle w:val="ListBullet"/>
      </w:pPr>
      <w:r>
        <w:t>KIT 外显子 8、KIT-ITD：未发现突变。</w:t>
      </w:r>
    </w:p>
    <w:p>
      <w:pPr>
        <w:pStyle w:val="ListBullet"/>
      </w:pPr>
      <w:r>
        <w:t>FLT3-ITD、FLT3-TKD：未发现突变。</w:t>
      </w:r>
    </w:p>
    <w:p>
      <w:pPr>
        <w:pStyle w:val="ListBullet"/>
      </w:pPr>
      <w:r>
        <w:t>NPM1：未发现突变。</w:t>
      </w:r>
    </w:p>
    <w:p>
      <w:pPr>
        <w:pStyle w:val="ListBullet"/>
      </w:pPr>
      <w:r>
        <w:t>CEBPA N 端、CEBPA C 端：未发现突变。</w:t>
      </w:r>
    </w:p>
    <w:p>
      <w:pPr>
        <w:pStyle w:val="ListBullet"/>
      </w:pPr>
      <w:r>
        <w:t>NRAS、DNMT3A、JAK2 V617F、JAK2 exon12：未发现相关突变。</w:t>
      </w:r>
    </w:p>
    <w:p>
      <w:pPr>
        <w:pStyle w:val="ListBullet"/>
      </w:pPr>
      <w:r>
        <w:t>ZBTB16-RARA、KMT2A 相关融合/突变、KMT2A-PTD：未发现。</w:t>
      </w:r>
    </w:p>
    <w:p>
      <w:pPr>
        <w:pStyle w:val="ListBullet"/>
      </w:pPr>
      <w:r>
        <w:t>PDGFRA 定量、BCR::ABL1 p210：低于检测灵敏度。</w:t>
      </w:r>
    </w:p>
    <w:p>
      <w:pPr>
        <w:pStyle w:val="Heading2"/>
      </w:pPr>
      <w:r>
        <w:t>既往治疗</w:t>
      </w:r>
    </w:p>
    <w:p>
      <w:pPr>
        <w:pStyle w:val="ListBullet"/>
      </w:pPr>
      <w:r>
        <w:t>未提供 AML 既往治疗信息。</w:t>
      </w:r>
    </w:p>
    <w:p>
      <w:pPr>
        <w:pStyle w:val="ListBullet"/>
      </w:pPr>
      <w:r>
        <w:t>当前资料主要为初诊 MICM 综合诊断报告。</w:t>
      </w:r>
    </w:p>
    <w:p>
      <w:pPr>
        <w:pStyle w:val="Heading2"/>
      </w:pPr>
      <w:r>
        <w:t>当前病情 / 病程</w:t>
      </w:r>
    </w:p>
    <w:p>
      <w:r>
        <w:t>当前资料提示患者为初诊 AML，已完成 MICM 检查。核心诊断信息包括 AML-M2b 形态学、流式支持髓系来源、t(8;21) / RUNX1-RUNX1T1 阳性以及 KIT D816V VAF 37.2%。年龄、ECOG、合并症、感染状态和器官功能未在本报告中提供。</w:t>
      </w:r>
    </w:p>
    <w:p>
      <w:pPr>
        <w:pStyle w:val="Heading2"/>
      </w:pPr>
      <w:r>
        <w:t>临床问题</w:t>
      </w:r>
    </w:p>
    <w:p>
      <w:r>
        <w:t>请基于已完成的 MICM 检查结果，判断本例 AML 的诊断、危险分层、MRD 监测标志物和初始治疗建议。请注意：流式免疫分型、染色体核型和分子检测已经完成，不要把这些检查作为尚未完成的下一步建议。</w:t>
      </w:r>
    </w:p>
    <w:p>
      <w:r>
        <w:t>请用简体中文给出肿瘤委员会风格的建议和简要理由。</w:t>
      </w:r>
    </w:p>
    <w:p>
      <w:pPr>
        <w:pStyle w:val="Heading2"/>
      </w:pPr>
      <w:r>
        <w:t>请求输出</w:t>
      </w:r>
    </w:p>
    <w:p>
      <w:r>
        <w:t>请输出：1）诊断归纳；2）风险/预后因素；3）初始治疗建议；4）MRD 监测建议；5）还需要补充的临床资料。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