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LEU-002 | NPM1突变AML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SYN-LEU-002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leukemia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55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NPM1突变AML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初诊、中年</w:t>
            </w:r>
          </w:p>
        </w:tc>
      </w:tr>
    </w:tbl>
    <w:p>
      <w:pPr>
        <w:pStyle w:val="Heading1"/>
      </w:pPr>
      <w:r>
        <w:t>预后与分子因素</w:t>
      </w:r>
    </w:p>
    <w:p>
      <w:r>
        <w:t>NPM1突变，FLT3-ITD低比值</w:t>
      </w:r>
    </w:p>
    <w:p>
      <w:pPr>
        <w:pStyle w:val="Heading1"/>
      </w:pPr>
      <w:r>
        <w:t>既往治疗</w:t>
      </w:r>
    </w:p>
    <w:p>
      <w:r>
        <w:t>无</w:t>
      </w:r>
    </w:p>
    <w:p>
      <w:pPr>
        <w:pStyle w:val="Heading1"/>
      </w:pPr>
      <w:r>
        <w:t>临床经过</w:t>
      </w:r>
    </w:p>
    <w:p>
      <w:r>
        <w:t>白细胞升高，经细胞减灭后稳定，心功能正常。</w:t>
      </w:r>
    </w:p>
    <w:p>
      <w:pPr>
        <w:pStyle w:val="Heading1"/>
      </w:pPr>
      <w:r>
        <w:t>肿瘤委员会问题</w:t>
      </w:r>
    </w:p>
    <w:p>
      <w:r>
        <w:t>是否需联合FLT3抑制剂？</w:t>
      </w:r>
    </w:p>
    <w:p>
      <w:pPr>
        <w:pStyle w:val="Heading1"/>
      </w:pPr>
      <w:r>
        <w:t>历史会议决定</w:t>
      </w:r>
    </w:p>
    <w:p>
      <w:r>
        <w:t>强化诱导联合FLT3抑制剂，以NPM1作为MRD标志指导巩固和移植评估。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LEU-002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