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LEU-004 | IDH1突变AML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IDH1突变AML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老年、不适合强化</w:t>
            </w:r>
          </w:p>
        </w:tc>
      </w:tr>
    </w:tbl>
    <w:p>
      <w:pPr>
        <w:pStyle w:val="Heading1"/>
      </w:pPr>
      <w:r>
        <w:t>预后与分子因素</w:t>
      </w:r>
    </w:p>
    <w:p>
      <w:r>
        <w:t>IDH1 R132C，SRSF2突变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合并慢性肾功能不全和反复肺部感染。</w:t>
      </w:r>
    </w:p>
    <w:p>
      <w:pPr>
        <w:pStyle w:val="Heading1"/>
      </w:pPr>
      <w:r>
        <w:t>肿瘤委员会问题</w:t>
      </w:r>
    </w:p>
    <w:p>
      <w:r>
        <w:t>低强度治疗与靶向治疗如何选择？</w:t>
      </w:r>
    </w:p>
    <w:p>
      <w:pPr>
        <w:pStyle w:val="Heading1"/>
      </w:pPr>
      <w:r>
        <w:t>历史会议决定</w:t>
      </w:r>
    </w:p>
    <w:p>
      <w:r>
        <w:t>结合体能和感染状态选择去甲基化药联合BCL2抑制剂，不耐受时考虑IDH1靶向治疗。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