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LEU-005 | TP53多命中AML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SYN-LEU-005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63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TP53多命中AML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难治、不良风险</w:t>
            </w:r>
          </w:p>
        </w:tc>
      </w:tr>
    </w:tbl>
    <w:p>
      <w:pPr>
        <w:pStyle w:val="Heading1"/>
      </w:pPr>
      <w:r>
        <w:t>预后与分子因素</w:t>
      </w:r>
    </w:p>
    <w:p>
      <w:r>
        <w:t>复杂核型，TP53 VAF 62%</w:t>
      </w:r>
    </w:p>
    <w:p>
      <w:pPr>
        <w:pStyle w:val="Heading1"/>
      </w:pPr>
      <w:r>
        <w:t>既往治疗</w:t>
      </w:r>
    </w:p>
    <w:p>
      <w:r>
        <w:t>CPX-351诱导未缓解</w:t>
      </w:r>
    </w:p>
    <w:p>
      <w:pPr>
        <w:pStyle w:val="Heading1"/>
      </w:pPr>
      <w:r>
        <w:t>临床经过</w:t>
      </w:r>
    </w:p>
    <w:p>
      <w:r>
        <w:t>持续原始细胞增多，有配型同胞供者。</w:t>
      </w:r>
    </w:p>
    <w:p>
      <w:pPr>
        <w:pStyle w:val="Heading1"/>
      </w:pPr>
      <w:r>
        <w:t>肿瘤委员会问题</w:t>
      </w:r>
    </w:p>
    <w:p>
      <w:r>
        <w:t>是否继续挽救并进入移植？</w:t>
      </w:r>
    </w:p>
    <w:p>
      <w:pPr>
        <w:pStyle w:val="Heading1"/>
      </w:pPr>
      <w:r>
        <w:t>历史会议决定</w:t>
      </w:r>
    </w:p>
    <w:p>
      <w:r>
        <w:t>优先临床试验或非交叉耐药挽救，达到最低疾病负荷后评估移植。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