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LEU-006 | 治疗相关AML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治疗相关AML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复杂核型，ASXL1和RUNX1突变</w:t>
      </w:r>
    </w:p>
    <w:p>
      <w:pPr>
        <w:pStyle w:val="Heading1"/>
      </w:pPr>
      <w:r>
        <w:t>既往治疗</w:t>
      </w:r>
    </w:p>
    <w:p>
      <w:r>
        <w:t>乳腺癌化疗史8年</w:t>
      </w:r>
    </w:p>
    <w:p>
      <w:pPr>
        <w:pStyle w:val="Heading1"/>
      </w:pPr>
      <w:r>
        <w:t>临床经过</w:t>
      </w:r>
    </w:p>
    <w:p>
      <w:r>
        <w:t>血细胞减少逐渐加重，骨髓原始细胞31%。</w:t>
      </w:r>
    </w:p>
    <w:p>
      <w:pPr>
        <w:pStyle w:val="Heading1"/>
      </w:pPr>
      <w:r>
        <w:t>肿瘤委员会问题</w:t>
      </w:r>
    </w:p>
    <w:p>
      <w:r>
        <w:t>诱导应采用CPX-351还是常规方案？</w:t>
      </w:r>
    </w:p>
    <w:p>
      <w:pPr>
        <w:pStyle w:val="Heading1"/>
      </w:pPr>
      <w:r>
        <w:t>历史会议决定</w:t>
      </w:r>
    </w:p>
    <w:p>
      <w:r>
        <w:t>考虑CPX-351诱导，缓解后依据MRD和体能尽快评估异基因移植。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