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LEU-010 | Ph阳性B-ALL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SYN-LEU-010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29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0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Ph阳性B-ALL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初诊、适合强化</w:t>
            </w:r>
          </w:p>
        </w:tc>
      </w:tr>
    </w:tbl>
    <w:p>
      <w:pPr>
        <w:pStyle w:val="Heading1"/>
      </w:pPr>
      <w:r>
        <w:t>预后与分子因素</w:t>
      </w:r>
    </w:p>
    <w:p>
      <w:r>
        <w:t>BCR::ABL1 p190，IKZF1plus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骨髓原始细胞82%，脑脊液阴性。</w:t>
      </w:r>
    </w:p>
    <w:p>
      <w:pPr>
        <w:pStyle w:val="Heading1"/>
      </w:pPr>
      <w:r>
        <w:t>肿瘤委员会问题</w:t>
      </w:r>
    </w:p>
    <w:p>
      <w:r>
        <w:t>TKI、化疗和免疫治疗应如何组合？</w:t>
      </w:r>
    </w:p>
    <w:p>
      <w:pPr>
        <w:pStyle w:val="Heading1"/>
      </w:pPr>
      <w:r>
        <w:t>历史会议决定</w:t>
      </w:r>
    </w:p>
    <w:p>
      <w:r>
        <w:t>采用强效TKI联合分阶段ALL治疗，结合BCR::ABL1 MRD决定免疫治疗及移植。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