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LEU-011 | Ph阴性B-ALL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SYN-LEU-011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43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Ph阴性B-ALL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第二次复发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CD19阳性，CD22阳性</w:t>
      </w:r>
    </w:p>
    <w:p>
      <w:pPr>
        <w:pStyle w:val="Heading1"/>
      </w:pPr>
      <w:r>
        <w:t>既往治疗</w:t>
      </w:r>
    </w:p>
    <w:p>
      <w:r>
        <w:t>多药化疗；异基因移植；blinatumomab</w:t>
      </w:r>
    </w:p>
    <w:p>
      <w:pPr>
        <w:pStyle w:val="Heading1"/>
      </w:pPr>
      <w:r>
        <w:t>临床经过</w:t>
      </w:r>
    </w:p>
    <w:p>
      <w:r>
        <w:t>移植后18个月骨髓复发，无明显GVHD。</w:t>
      </w:r>
    </w:p>
    <w:p>
      <w:pPr>
        <w:pStyle w:val="Heading1"/>
      </w:pPr>
      <w:r>
        <w:t>肿瘤委员会问题</w:t>
      </w:r>
    </w:p>
    <w:p>
      <w:r>
        <w:t>如何在CAR-T和抗体偶联药之间选择？</w:t>
      </w:r>
    </w:p>
    <w:p>
      <w:pPr>
        <w:pStyle w:val="Heading1"/>
      </w:pPr>
      <w:r>
        <w:t>历史会议决定</w:t>
      </w:r>
    </w:p>
    <w:p>
      <w:r>
        <w:t>根据抗原表达、既往暴露和可及性选择CD19 CAR-T或CD22导向治疗，并预先规划后续巩固。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