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LEU-016 | 慢性髓性白血病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慢性髓性白血病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加速期、TKI耐药</w:t>
            </w:r>
          </w:p>
        </w:tc>
      </w:tr>
    </w:tbl>
    <w:p>
      <w:pPr>
        <w:pStyle w:val="Heading1"/>
      </w:pPr>
      <w:r>
        <w:t>预后与分子因素</w:t>
      </w:r>
    </w:p>
    <w:p>
      <w:r>
        <w:t>BCR::ABL1 T315I</w:t>
      </w:r>
    </w:p>
    <w:p>
      <w:pPr>
        <w:pStyle w:val="Heading1"/>
      </w:pPr>
      <w:r>
        <w:t>既往治疗</w:t>
      </w:r>
    </w:p>
    <w:p>
      <w:r>
        <w:t>imatinib；dasatinib；nilotinib</w:t>
      </w:r>
    </w:p>
    <w:p>
      <w:pPr>
        <w:pStyle w:val="Heading1"/>
      </w:pPr>
      <w:r>
        <w:t>临床经过</w:t>
      </w:r>
    </w:p>
    <w:p>
      <w:r>
        <w:t>原始细胞13%，脾大进展，有一名匹配非血缘供者。</w:t>
      </w:r>
    </w:p>
    <w:p>
      <w:pPr>
        <w:pStyle w:val="Heading1"/>
      </w:pPr>
      <w:r>
        <w:t>肿瘤委员会问题</w:t>
      </w:r>
    </w:p>
    <w:p>
      <w:r>
        <w:t>靶向治疗与移植如何衔接？</w:t>
      </w:r>
    </w:p>
    <w:p>
      <w:pPr>
        <w:pStyle w:val="Heading1"/>
      </w:pPr>
      <w:r>
        <w:t>历史会议决定</w:t>
      </w:r>
    </w:p>
    <w:p>
      <w:r>
        <w:t>使用对T315I有活性的TKI控制疾病，同步完成移植准备。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