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LEU-017 | 慢性髓性白血病急变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SYN-LEU-017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leukemia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45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男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慢性髓性白血病急变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髓系急变</w:t>
            </w:r>
          </w:p>
        </w:tc>
      </w:tr>
    </w:tbl>
    <w:p>
      <w:pPr>
        <w:pStyle w:val="Heading1"/>
      </w:pPr>
      <w:r>
        <w:t>预后与分子因素</w:t>
      </w:r>
    </w:p>
    <w:p>
      <w:r>
        <w:t>BCR::ABL1，新增RUNX1突变</w:t>
      </w:r>
    </w:p>
    <w:p>
      <w:pPr>
        <w:pStyle w:val="Heading1"/>
      </w:pPr>
      <w:r>
        <w:t>既往治疗</w:t>
      </w:r>
    </w:p>
    <w:p>
      <w:r>
        <w:t>bosutinib治疗3年</w:t>
      </w:r>
    </w:p>
    <w:p>
      <w:pPr>
        <w:pStyle w:val="Heading1"/>
      </w:pPr>
      <w:r>
        <w:t>临床经过</w:t>
      </w:r>
    </w:p>
    <w:p>
      <w:r>
        <w:t>骨髓原始细胞34%，伴肺部感染刚得到控制。</w:t>
      </w:r>
    </w:p>
    <w:p>
      <w:pPr>
        <w:pStyle w:val="Heading1"/>
      </w:pPr>
      <w:r>
        <w:t>肿瘤委员会问题</w:t>
      </w:r>
    </w:p>
    <w:p>
      <w:r>
        <w:t>如何进行急变诱导？</w:t>
      </w:r>
    </w:p>
    <w:p>
      <w:pPr>
        <w:pStyle w:val="Heading1"/>
      </w:pPr>
      <w:r>
        <w:t>历史会议决定</w:t>
      </w:r>
    </w:p>
    <w:p>
      <w:r>
        <w:t>采用AML样治疗联合合适TKI，获得第二慢性期后尽快移植。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LEU-017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