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LEU-020 | 高危骨髓增生异常综合征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64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高危骨髓增生异常综合征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进展、输血依赖</w:t>
            </w:r>
          </w:p>
        </w:tc>
      </w:tr>
    </w:tbl>
    <w:p>
      <w:pPr>
        <w:pStyle w:val="Heading1"/>
      </w:pPr>
      <w:r>
        <w:t>预后与分子因素</w:t>
      </w:r>
    </w:p>
    <w:p>
      <w:r>
        <w:t>复杂核型，EZH2和ASXL1突变</w:t>
      </w:r>
    </w:p>
    <w:p>
      <w:pPr>
        <w:pStyle w:val="Heading1"/>
      </w:pPr>
      <w:r>
        <w:t>既往治疗</w:t>
      </w:r>
    </w:p>
    <w:p>
      <w:r>
        <w:t>支持治疗</w:t>
      </w:r>
    </w:p>
    <w:p>
      <w:pPr>
        <w:pStyle w:val="Heading1"/>
      </w:pPr>
      <w:r>
        <w:t>临床经过</w:t>
      </w:r>
    </w:p>
    <w:p>
      <w:r>
        <w:t>骨髓原始细胞14%，每2周需输红细胞。</w:t>
      </w:r>
    </w:p>
    <w:p>
      <w:pPr>
        <w:pStyle w:val="Heading1"/>
      </w:pPr>
      <w:r>
        <w:t>肿瘤委员会问题</w:t>
      </w:r>
    </w:p>
    <w:p>
      <w:r>
        <w:t>去甲基化治疗后是否应移植？</w:t>
      </w:r>
    </w:p>
    <w:p>
      <w:pPr>
        <w:pStyle w:val="Heading1"/>
      </w:pPr>
      <w:r>
        <w:t>历史会议决定</w:t>
      </w:r>
    </w:p>
    <w:p>
      <w:r>
        <w:t>启动去甲基化治疗并同步进行供者搜索，疾病稳定后评估移植。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