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LYM-002 | 弥漫性大B细胞淋巴瘤，ABC型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SYN-LYM-002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64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弥漫性大B细胞淋巴瘤，ABC型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一线难治</w:t>
            </w:r>
          </w:p>
        </w:tc>
      </w:tr>
    </w:tbl>
    <w:p>
      <w:pPr>
        <w:pStyle w:val="Heading1"/>
      </w:pPr>
      <w:r>
        <w:t>预后与分子因素</w:t>
      </w:r>
    </w:p>
    <w:p>
      <w:r>
        <w:t>CD19阳性，MYD88 L265P</w:t>
      </w:r>
    </w:p>
    <w:p>
      <w:pPr>
        <w:pStyle w:val="Heading1"/>
      </w:pPr>
      <w:r>
        <w:t>既往治疗</w:t>
      </w:r>
    </w:p>
    <w:p>
      <w:r>
        <w:t>R-CHOP 6个疗程</w:t>
      </w:r>
    </w:p>
    <w:p>
      <w:pPr>
        <w:pStyle w:val="Heading1"/>
      </w:pPr>
      <w:r>
        <w:t>临床经过</w:t>
      </w:r>
    </w:p>
    <w:p>
      <w:r>
        <w:t>疗程结束PET-CT显示代谢进展，已重新活检确认。</w:t>
      </w:r>
    </w:p>
    <w:p>
      <w:pPr>
        <w:pStyle w:val="Heading1"/>
      </w:pPr>
      <w:r>
        <w:t>肿瘤委员会问题</w:t>
      </w:r>
    </w:p>
    <w:p>
      <w:r>
        <w:t>二线应直接进入CAR-T还是挽救移植？</w:t>
      </w:r>
    </w:p>
    <w:p>
      <w:pPr>
        <w:pStyle w:val="Heading1"/>
      </w:pPr>
      <w:r>
        <w:t>历史会议决定</w:t>
      </w:r>
    </w:p>
    <w:p>
      <w:r>
        <w:t>按早期难治DLBCL评估CD19 CAR-T，同步安排桥接治疗和器官功能评估。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