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LYM-005 | 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晚期复发、移植适合</w:t>
            </w:r>
          </w:p>
        </w:tc>
      </w:tr>
    </w:tbl>
    <w:p>
      <w:pPr>
        <w:pStyle w:val="Heading1"/>
      </w:pPr>
      <w:r>
        <w:t>预后与分子因素</w:t>
      </w:r>
    </w:p>
    <w:p>
      <w:r>
        <w:t>CD20阳性，无MYC重排</w:t>
      </w:r>
    </w:p>
    <w:p>
      <w:pPr>
        <w:pStyle w:val="Heading1"/>
      </w:pPr>
      <w:r>
        <w:t>既往治疗</w:t>
      </w:r>
    </w:p>
    <w:p>
      <w:r>
        <w:t>R-CHOP后缓解36个月</w:t>
      </w:r>
    </w:p>
    <w:p>
      <w:pPr>
        <w:pStyle w:val="Heading1"/>
      </w:pPr>
      <w:r>
        <w:t>临床经过</w:t>
      </w:r>
    </w:p>
    <w:p>
      <w:r>
        <w:t>局部淋巴结复发，已活检，器官功能良好。</w:t>
      </w:r>
    </w:p>
    <w:p>
      <w:pPr>
        <w:pStyle w:val="Heading1"/>
      </w:pPr>
      <w:r>
        <w:t>肿瘤委员会问题</w:t>
      </w:r>
    </w:p>
    <w:p>
      <w:r>
        <w:t>是否采用挽救化疗后自体移植？</w:t>
      </w:r>
    </w:p>
    <w:p>
      <w:pPr>
        <w:pStyle w:val="Heading1"/>
      </w:pPr>
      <w:r>
        <w:t>历史会议决定</w:t>
      </w:r>
    </w:p>
    <w:p>
      <w:r>
        <w:t>对化疗敏感的晚期复发采用挽救治疗，达缓解后进行自体移植。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