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LYM-006 | 原发中枢神经系淋巴瘤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73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原发中枢神经系淋巴瘤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初诊、老年</w:t>
            </w:r>
          </w:p>
        </w:tc>
      </w:tr>
    </w:tbl>
    <w:p>
      <w:pPr>
        <w:pStyle w:val="Heading1"/>
      </w:pPr>
      <w:r>
        <w:t>预后与分子因素</w:t>
      </w:r>
    </w:p>
    <w:p>
      <w:r>
        <w:t>MYD88 L265P，CD20阳性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多发脑实质病灶，肾小球滤过率轻度下降。</w:t>
      </w:r>
    </w:p>
    <w:p>
      <w:pPr>
        <w:pStyle w:val="Heading1"/>
      </w:pPr>
      <w:r>
        <w:t>肿瘤委员会问题</w:t>
      </w:r>
    </w:p>
    <w:p>
      <w:r>
        <w:t>高剂量甲氨蝶呤方案如何根据器官功能调整？</w:t>
      </w:r>
    </w:p>
    <w:p>
      <w:pPr>
        <w:pStyle w:val="Heading1"/>
      </w:pPr>
      <w:r>
        <w:t>历史会议决定</w:t>
      </w:r>
    </w:p>
    <w:p>
      <w:r>
        <w:t>在专科中心采用以高剂量甲氨蝶呤为基础的个体化方案，严密监测肾功能。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