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LYM-009 | 滤泡性淋巴瘤1–2级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SYN-LYM-009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lymphoma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60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女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0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滤泡性淋巴瘤1–2级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低肿瘤负荷初诊</w:t>
            </w:r>
          </w:p>
        </w:tc>
      </w:tr>
    </w:tbl>
    <w:p>
      <w:pPr>
        <w:pStyle w:val="Heading1"/>
      </w:pPr>
      <w:r>
        <w:t>预后与分子因素</w:t>
      </w:r>
    </w:p>
    <w:p>
      <w:r>
        <w:t>t(14;18)，FLIPI 1</w:t>
      </w:r>
    </w:p>
    <w:p>
      <w:pPr>
        <w:pStyle w:val="Heading1"/>
      </w:pPr>
      <w:r>
        <w:t>既往治疗</w:t>
      </w:r>
    </w:p>
    <w:p>
      <w:r>
        <w:t>无</w:t>
      </w:r>
    </w:p>
    <w:p>
      <w:pPr>
        <w:pStyle w:val="Heading1"/>
      </w:pPr>
      <w:r>
        <w:t>临床经过</w:t>
      </w:r>
    </w:p>
    <w:p>
      <w:r>
        <w:t>无B症状，结节较小，血象正常。</w:t>
      </w:r>
    </w:p>
    <w:p>
      <w:pPr>
        <w:pStyle w:val="Heading1"/>
      </w:pPr>
      <w:r>
        <w:t>肿瘤委员会问题</w:t>
      </w:r>
    </w:p>
    <w:p>
      <w:r>
        <w:t>是否可以观察等待？</w:t>
      </w:r>
    </w:p>
    <w:p>
      <w:pPr>
        <w:pStyle w:val="Heading1"/>
      </w:pPr>
      <w:r>
        <w:t>历史会议决定</w:t>
      </w:r>
    </w:p>
    <w:p>
      <w:r>
        <w:t>在无治疗指征时采用观察等待，定期评估症状、血象和肿瘤负荷。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LYM-009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