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LYM-012 | 套细胞淋巴瘤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SYN-LYM-012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套细胞淋巴瘤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年轻、初诊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t(11;14)，TP53野生型，ki-67 35%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IV期伴骨髓受累，器官功能良好。</w:t>
      </w:r>
    </w:p>
    <w:p>
      <w:pPr>
        <w:pStyle w:val="Heading1"/>
      </w:pPr>
      <w:r>
        <w:t>肿瘤委员会问题</w:t>
      </w:r>
    </w:p>
    <w:p>
      <w:r>
        <w:t>是否采用含阿糖胞苷的诱导和自体移植？</w:t>
      </w:r>
    </w:p>
    <w:p>
      <w:pPr>
        <w:pStyle w:val="Heading1"/>
      </w:pPr>
      <w:r>
        <w:t>历史会议决定</w:t>
      </w:r>
    </w:p>
    <w:p>
      <w:r>
        <w:t>采用含阿糖胞苷和抗CD20的强化诱导，达缓解后评估自体移植及维持治疗。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