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 w:eastAsia="Hiragino Sans GB W3"/>
          <w:b/>
          <w:color w:val="173B57"/>
          <w:sz w:val="36"/>
        </w:rPr>
        <w:t>合成病例 LYM-013 | 套细胞淋巴瘤</w:t>
      </w:r>
    </w:p>
    <w:p>
      <w:pPr>
        <w:spacing w:after="200"/>
        <w:jc w:val="left"/>
      </w:pPr>
      <w:r>
        <w:rPr>
          <w:i/>
          <w:color w:val="6B7280"/>
          <w:sz w:val="18"/>
        </w:rPr>
        <w:t>完全合成·非真实患者·仅用于HemaGuide相似性检索与绘图测试</w:t>
      </w:r>
    </w:p>
    <w:p>
      <w:pPr>
        <w:pStyle w:val="Heading1"/>
      </w:pPr>
      <w:r>
        <w:t>病例基本信息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patient_id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SYN-LYM-013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dataset_group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lymphoma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case_role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history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tumorboard_type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血液肿瘤委员会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age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78 岁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sex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女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ECOG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2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main_diagnosis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套细胞淋巴瘤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disease_phase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老年初诊</w:t>
            </w:r>
          </w:p>
        </w:tc>
      </w:tr>
    </w:tbl>
    <w:p>
      <w:pPr>
        <w:pStyle w:val="Heading1"/>
      </w:pPr>
      <w:r>
        <w:t>预后与分子因素</w:t>
      </w:r>
    </w:p>
    <w:p>
      <w:r>
        <w:t>t(11;14)，ki-67 20%</w:t>
      </w:r>
    </w:p>
    <w:p>
      <w:pPr>
        <w:pStyle w:val="Heading1"/>
      </w:pPr>
      <w:r>
        <w:t>既往治疗</w:t>
      </w:r>
    </w:p>
    <w:p>
      <w:r>
        <w:t>无</w:t>
      </w:r>
    </w:p>
    <w:p>
      <w:pPr>
        <w:pStyle w:val="Heading1"/>
      </w:pPr>
      <w:r>
        <w:t>临床经过</w:t>
      </w:r>
    </w:p>
    <w:p>
      <w:r>
        <w:t>巨大脾脏和贫血，合并房颤和慢性肾病。</w:t>
      </w:r>
    </w:p>
    <w:p>
      <w:pPr>
        <w:pStyle w:val="Heading1"/>
      </w:pPr>
      <w:r>
        <w:t>肿瘤委员会问题</w:t>
      </w:r>
    </w:p>
    <w:p>
      <w:r>
        <w:t>如何选择低毒性一线治疗？</w:t>
      </w:r>
    </w:p>
    <w:p>
      <w:pPr>
        <w:pStyle w:val="Heading1"/>
      </w:pPr>
      <w:r>
        <w:t>历史会议决定</w:t>
      </w:r>
    </w:p>
    <w:p>
      <w:r>
        <w:t>根据心肾功能选择减强度免疫化疗或无化疗策略，并严密管理感染与出血风险。</w:t>
      </w:r>
    </w:p>
    <w:p>
      <w:pPr>
        <w:pStyle w:val="Heading1"/>
      </w:pPr>
      <w:r>
        <w:t>数据使用说明</w:t>
      </w:r>
    </w:p>
    <w:p>
      <w:r>
        <w:t>本文档中的所有人口学、诊断、分子、治疗及结局信息均为人工构造，不对应任何真实患者，不得用于临床决策。</w:t>
      </w:r>
    </w:p>
    <w:sectPr w:rsidR="00FC693F" w:rsidRPr="0006063C" w:rsidSect="00034616">
      <w:footerReference w:type="default" r:id="rId9"/>
      <w:pgSz w:w="12240" w:h="15840"/>
      <w:pgMar w:top="1080" w:right="1296" w:bottom="1080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A7A7A"/>
        <w:sz w:val="16"/>
      </w:rPr>
      <w:t>Synthetic HemaGuide similarity dataset | LYM-013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 w:eastAsia="Hiragino Sans GB W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