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LYM-014 | 套细胞淋巴瘤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SYN-LYM-014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65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套细胞淋巴瘤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BTK抑制剂后进展</w:t>
            </w:r>
          </w:p>
        </w:tc>
      </w:tr>
    </w:tbl>
    <w:p>
      <w:pPr>
        <w:pStyle w:val="Heading1"/>
      </w:pPr>
      <w:r>
        <w:t>预后与分子因素</w:t>
      </w:r>
    </w:p>
    <w:p>
      <w:r>
        <w:t>TP53突变，ki-67 70%</w:t>
      </w:r>
    </w:p>
    <w:p>
      <w:pPr>
        <w:pStyle w:val="Heading1"/>
      </w:pPr>
      <w:r>
        <w:t>既往治疗</w:t>
      </w:r>
    </w:p>
    <w:p>
      <w:r>
        <w:t>免疫化疗；自体移植；BTK抑制剂</w:t>
      </w:r>
    </w:p>
    <w:p>
      <w:pPr>
        <w:pStyle w:val="Heading1"/>
      </w:pPr>
      <w:r>
        <w:t>临床经过</w:t>
      </w:r>
    </w:p>
    <w:p>
      <w:r>
        <w:t>疾病快速进展并出现多站节外受累。</w:t>
      </w:r>
    </w:p>
    <w:p>
      <w:pPr>
        <w:pStyle w:val="Heading1"/>
      </w:pPr>
      <w:r>
        <w:t>肿瘤委员会问题</w:t>
      </w:r>
    </w:p>
    <w:p>
      <w:r>
        <w:t>是否应优先CAR-T？</w:t>
      </w:r>
    </w:p>
    <w:p>
      <w:pPr>
        <w:pStyle w:val="Heading1"/>
      </w:pPr>
      <w:r>
        <w:t>历史会议决定</w:t>
      </w:r>
    </w:p>
    <w:p>
      <w:r>
        <w:t>尽快评估CAR-T或临床试验，用短程桥接治疗控制高增殖性疾病。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