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LYM-015 | 经典型霍奇金淋巴瘤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27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经典型霍奇金淋巴瘤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早期不良风险</w:t>
            </w:r>
          </w:p>
        </w:tc>
      </w:tr>
    </w:tbl>
    <w:p>
      <w:pPr>
        <w:pStyle w:val="Heading1"/>
      </w:pPr>
      <w:r>
        <w:t>预后与分子因素</w:t>
      </w:r>
    </w:p>
    <w:p>
      <w:r>
        <w:t>EBV阴性，纵隔大包块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Ann Arbor IIB期，ESR升高，肺功能正常。</w:t>
      </w:r>
    </w:p>
    <w:p>
      <w:pPr>
        <w:pStyle w:val="Heading1"/>
      </w:pPr>
      <w:r>
        <w:t>肿瘤委员会问题</w:t>
      </w:r>
    </w:p>
    <w:p>
      <w:r>
        <w:t>化疗疗程数和放疗如何由PET指导？</w:t>
      </w:r>
    </w:p>
    <w:p>
      <w:pPr>
        <w:pStyle w:val="Heading1"/>
      </w:pPr>
      <w:r>
        <w:t>历史会议决定</w:t>
      </w:r>
    </w:p>
    <w:p>
      <w:r>
        <w:t>采用PET适应性一线方案，根据中期和终末PET决定疗程强度与局部放疗。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