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LYM-021 | 血管免疫母T细胞淋巴瘤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SYN-LYM-021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63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血管免疫母T细胞淋巴瘤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首次复发</w:t>
            </w:r>
          </w:p>
        </w:tc>
      </w:tr>
    </w:tbl>
    <w:p>
      <w:pPr>
        <w:pStyle w:val="Heading1"/>
      </w:pPr>
      <w:r>
        <w:t>预后与分子因素</w:t>
      </w:r>
    </w:p>
    <w:p>
      <w:r>
        <w:t>TET2、DNMT3A和RHOA G17V突变</w:t>
      </w:r>
    </w:p>
    <w:p>
      <w:pPr>
        <w:pStyle w:val="Heading1"/>
      </w:pPr>
      <w:r>
        <w:t>既往治疗</w:t>
      </w:r>
    </w:p>
    <w:p>
      <w:r>
        <w:t>CHOP样治疗后缓解10个月</w:t>
      </w:r>
    </w:p>
    <w:p>
      <w:pPr>
        <w:pStyle w:val="Heading1"/>
      </w:pPr>
      <w:r>
        <w:t>临床经过</w:t>
      </w:r>
    </w:p>
    <w:p>
      <w:r>
        <w:t>全身淋巴结增大、皮疹和自身免疫性溶血。</w:t>
      </w:r>
    </w:p>
    <w:p>
      <w:pPr>
        <w:pStyle w:val="Heading1"/>
      </w:pPr>
      <w:r>
        <w:t>肿瘤委员会问题</w:t>
      </w:r>
    </w:p>
    <w:p>
      <w:r>
        <w:t>复发时如何选择表观遗传治疗和移植？</w:t>
      </w:r>
    </w:p>
    <w:p>
      <w:pPr>
        <w:pStyle w:val="Heading1"/>
      </w:pPr>
      <w:r>
        <w:t>历史会议决定</w:t>
      </w:r>
    </w:p>
    <w:p>
      <w:r>
        <w:t>选择非交叉耐药挽救或临床试验，获得缓解后根据体能评估移植。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