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LYM-022 | ALK阳性间变性大细胞淋巴瘤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32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ALK阳性间变性大细胞淋巴瘤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初诊、晚期</w:t>
            </w:r>
          </w:p>
        </w:tc>
      </w:tr>
    </w:tbl>
    <w:p>
      <w:pPr>
        <w:pStyle w:val="Heading1"/>
      </w:pPr>
      <w:r>
        <w:t>预后与分子因素</w:t>
      </w:r>
    </w:p>
    <w:p>
      <w:r>
        <w:t>NPM::ALK阳性，CD30强阳性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III期伴B症状，无中枢受累。</w:t>
      </w:r>
    </w:p>
    <w:p>
      <w:pPr>
        <w:pStyle w:val="Heading1"/>
      </w:pPr>
      <w:r>
        <w:t>肿瘤委员会问题</w:t>
      </w:r>
    </w:p>
    <w:p>
      <w:r>
        <w:t>一线是否应采用CD30导向联合方案？</w:t>
      </w:r>
    </w:p>
    <w:p>
      <w:pPr>
        <w:pStyle w:val="Heading1"/>
      </w:pPr>
      <w:r>
        <w:t>历史会议决定</w:t>
      </w:r>
    </w:p>
    <w:p>
      <w:r>
        <w:t>采用CD30导向联合化疗，根据PET反应决定后续疗程和巩固。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