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LYM-023 | 伯基特淋巴瘤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伯基特淋巴瘤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初诊、高肿瘤负荷</w:t>
            </w:r>
          </w:p>
        </w:tc>
      </w:tr>
    </w:tbl>
    <w:p>
      <w:pPr>
        <w:pStyle w:val="Heading1"/>
      </w:pPr>
      <w:r>
        <w:t>预后与分子因素</w:t>
      </w:r>
    </w:p>
    <w:p>
      <w:r>
        <w:t>MYC重排，EBV阴性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腹腔巨大肿块，LDH显著升高，肿瘤溶解风险高。</w:t>
      </w:r>
    </w:p>
    <w:p>
      <w:pPr>
        <w:pStyle w:val="Heading1"/>
      </w:pPr>
      <w:r>
        <w:t>肿瘤委员会问题</w:t>
      </w:r>
    </w:p>
    <w:p>
      <w:r>
        <w:t>如何安排预阶段、强化治疗和CNS预防？</w:t>
      </w:r>
    </w:p>
    <w:p>
      <w:pPr>
        <w:pStyle w:val="Heading1"/>
      </w:pPr>
      <w:r>
        <w:t>历史会议决定</w:t>
      </w:r>
    </w:p>
    <w:p>
      <w:r>
        <w:t>先进行肿瘤溶解预防和预阶段处理，随后启动短疗程高强度方案并纳入CNS导向治疗。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