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LYM-025 | 移植后淋巴增殖性疾病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SYN-LYM-025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50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移植后淋巴增殖性疾病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肾移植后、EBV阳性</w:t>
            </w:r>
          </w:p>
        </w:tc>
      </w:tr>
    </w:tbl>
    <w:p>
      <w:pPr>
        <w:pStyle w:val="Heading1"/>
      </w:pPr>
      <w:r>
        <w:t>预后与分子因素</w:t>
      </w:r>
    </w:p>
    <w:p>
      <w:r>
        <w:t>EBER阳性，CD20阳性</w:t>
      </w:r>
    </w:p>
    <w:p>
      <w:pPr>
        <w:pStyle w:val="Heading1"/>
      </w:pPr>
      <w:r>
        <w:t>既往治疗</w:t>
      </w:r>
    </w:p>
    <w:p>
      <w:r>
        <w:t>肾移植后免疫抑制6年</w:t>
      </w:r>
    </w:p>
    <w:p>
      <w:pPr>
        <w:pStyle w:val="Heading1"/>
      </w:pPr>
      <w:r>
        <w:t>临床经过</w:t>
      </w:r>
    </w:p>
    <w:p>
      <w:r>
        <w:t>多站淋巴结及移植肾周围病灶，肾功能波动。</w:t>
      </w:r>
    </w:p>
    <w:p>
      <w:pPr>
        <w:pStyle w:val="Heading1"/>
      </w:pPr>
      <w:r>
        <w:t>肿瘤委员会问题</w:t>
      </w:r>
    </w:p>
    <w:p>
      <w:r>
        <w:t>如何平衡减少免疫抑制、抗CD20治疗与移植器官风险？</w:t>
      </w:r>
    </w:p>
    <w:p>
      <w:pPr>
        <w:pStyle w:val="Heading1"/>
      </w:pPr>
      <w:r>
        <w:t>历史会议决定</w:t>
      </w:r>
    </w:p>
    <w:p>
      <w:r>
        <w:t>与移植团队协作减少免疫抑制，启动抗CD20治疗，并密切监测器官功能和病毒负荷。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