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LYM-001 | 弥漫性大B细胞淋巴瘤，GCB型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SYN-LYM-001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query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58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弥漫性大B细胞淋巴瘤，GCB型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初诊、晚期</w:t>
            </w:r>
          </w:p>
        </w:tc>
      </w:tr>
    </w:tbl>
    <w:p>
      <w:pPr>
        <w:pStyle w:val="Heading1"/>
      </w:pPr>
      <w:r>
        <w:t>预后与分子因素</w:t>
      </w:r>
    </w:p>
    <w:p>
      <w:r>
        <w:t>MYC阴性，BCL2蛋白高表达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Ann Arbor IV期，多站淋巴结及骨髓受累，IPI 3分。</w:t>
      </w:r>
    </w:p>
    <w:p>
      <w:pPr>
        <w:pStyle w:val="Heading1"/>
      </w:pPr>
      <w:r>
        <w:t>肿瘤委员会问题</w:t>
      </w:r>
    </w:p>
    <w:p>
      <w:r>
        <w:t>一线治疗强度和中枢预防如何安排？</w:t>
      </w:r>
    </w:p>
    <w:p>
      <w:pPr>
        <w:pStyle w:val="Heading1"/>
      </w:pPr>
      <w:r>
        <w:t>历史会议决定</w:t>
      </w:r>
    </w:p>
    <w:p>
      <w:r>
        <w:t>采用标准免疫化疗，根据CNS-IPI和受累部位个体化评估中枢预防。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