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hematology case - English language comparison test</w:t>
      </w:r>
    </w:p>
    <w:p>
      <w:r>
        <w:t>Synthetic teaching case - non-patient data - local HemaGuide test only</w:t>
      </w:r>
    </w:p>
    <w:p>
      <w:r>
        <w:t>Tumor board case summary</w:t>
      </w:r>
    </w:p>
    <w:p>
      <w:r>
        <w:t>Tumor board type: Hematology tumor board - treatment decision</w:t>
      </w:r>
    </w:p>
    <w:p>
      <w:r>
        <w:t>Patient ID: EN_HIST_02</w:t>
      </w:r>
    </w:p>
    <w:p>
      <w:r>
        <w:t>Age: 62</w:t>
      </w:r>
    </w:p>
    <w:p>
      <w:r>
        <w:t>ECOG: 1</w:t>
      </w:r>
    </w:p>
    <w:p>
      <w:r>
        <w:t>Main diagnosis: Newly diagnosed acute myeloid leukemia (AML), FLT3-ITD positive</w:t>
      </w:r>
    </w:p>
    <w:p>
      <w:r>
        <w:t>Comorbidities: Type 2 diabetes; stage 2 chronic kidney disease</w:t>
      </w:r>
    </w:p>
    <w:p>
      <w:r>
        <w:t>Predictive/molecular factors: FLT3-ITD positive; NPM1 mutation; IDH1/2 wild type</w:t>
      </w:r>
    </w:p>
    <w:p>
      <w:r>
        <w:t>Clinical history</w:t>
      </w:r>
    </w:p>
    <w:p>
      <w:r>
        <w:t>The patient was referred for pancytopenia and peripheral blood blasts. Bone marrow showed 74% blasts. The patient remained independent, had no uncontrolled infection, and had a low-to-intermediate transplant comorbidity index. No prior AML treatment had been given apart from transfusion support. The patient was considered fit for intensive induction; renal function required monitoring but was not a contraindication.</w:t>
      </w:r>
    </w:p>
    <w:p>
      <w:r>
        <w:t>Clinical question</w:t>
      </w:r>
    </w:p>
    <w:p>
      <w:r>
        <w:t>Should a FLT3 inhibitor be added to induction? Should allogeneic transplantation be planned in first remission?</w:t>
      </w:r>
    </w:p>
    <w:p>
      <w:r>
        <w:t>Board decision</w:t>
      </w:r>
    </w:p>
    <w:p>
      <w:r>
        <w:t>Recommend 7+3 induction combined with midostaurin, followed by consolidation and donor search. The decision about transplantation in first complete remission should consider treatment response, MRD, and transplant fitness.</w:t>
      </w:r>
    </w:p>
    <w:p>
      <w:r>
        <w:t>Reason</w:t>
      </w:r>
    </w:p>
    <w:p>
      <w:r>
        <w:t>Recommend 7+3 induction combined with midostaurin, followed by consolidation and donor search. The decision about transplantation in first complete remission should consider treatment response, MRD, and transplant fitness.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